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0F8E1E">
      <w:pPr>
        <w:wordWrap w:val="0"/>
        <w:spacing w:line="360" w:lineRule="auto"/>
        <w:jc w:val="right"/>
        <w:rPr>
          <w:rFonts w:hint="eastAsia"/>
          <w:sz w:val="30"/>
        </w:rPr>
      </w:pPr>
    </w:p>
    <w:p w14:paraId="7422A705">
      <w:pPr>
        <w:spacing w:line="360" w:lineRule="auto"/>
        <w:jc w:val="center"/>
        <w:rPr>
          <w:rFonts w:hint="eastAsia" w:ascii="宋体" w:hAnsi="宋体" w:eastAsia="宋体" w:cs="宋体"/>
          <w:b/>
          <w:sz w:val="52"/>
          <w:szCs w:val="52"/>
        </w:rPr>
      </w:pPr>
    </w:p>
    <w:p w14:paraId="675C0B99">
      <w:pPr>
        <w:spacing w:line="360" w:lineRule="auto"/>
        <w:jc w:val="center"/>
        <w:rPr>
          <w:rFonts w:hint="eastAsia" w:ascii="宋体" w:hAnsi="宋体" w:eastAsia="宋体" w:cs="宋体"/>
          <w:b/>
          <w:sz w:val="52"/>
          <w:szCs w:val="52"/>
        </w:rPr>
      </w:pPr>
    </w:p>
    <w:p w14:paraId="3806F62F">
      <w:pPr>
        <w:spacing w:line="360" w:lineRule="auto"/>
        <w:jc w:val="center"/>
        <w:rPr>
          <w:rFonts w:hint="eastAsia" w:ascii="宋体" w:hAnsi="宋体" w:cs="宋体"/>
          <w:b/>
          <w:sz w:val="52"/>
          <w:szCs w:val="52"/>
          <w:lang w:val="en-US" w:eastAsia="zh-CN"/>
        </w:rPr>
      </w:pPr>
      <w:r>
        <w:rPr>
          <w:rFonts w:hint="eastAsia" w:ascii="宋体" w:hAnsi="宋体" w:cs="宋体"/>
          <w:b/>
          <w:sz w:val="52"/>
          <w:szCs w:val="52"/>
          <w:lang w:val="en-US" w:eastAsia="zh-CN"/>
        </w:rPr>
        <w:t>金岭矿业股份有限公司</w:t>
      </w:r>
    </w:p>
    <w:p w14:paraId="71C6C89D">
      <w:pPr>
        <w:spacing w:line="360" w:lineRule="auto"/>
        <w:jc w:val="center"/>
        <w:rPr>
          <w:rFonts w:hint="eastAsia" w:ascii="宋体" w:hAnsi="宋体" w:eastAsia="宋体" w:cs="宋体"/>
          <w:b/>
          <w:sz w:val="52"/>
          <w:szCs w:val="52"/>
          <w:lang w:eastAsia="zh-CN"/>
        </w:rPr>
      </w:pPr>
      <w:r>
        <w:rPr>
          <w:rFonts w:hint="eastAsia" w:ascii="宋体" w:hAnsi="宋体" w:eastAsia="宋体" w:cs="宋体"/>
          <w:b/>
          <w:sz w:val="52"/>
          <w:szCs w:val="52"/>
          <w:lang w:val="en-US" w:eastAsia="zh-CN"/>
        </w:rPr>
        <w:t>GNSS接收机</w:t>
      </w:r>
      <w:r>
        <w:rPr>
          <w:rFonts w:hint="eastAsia" w:ascii="宋体" w:hAnsi="宋体" w:eastAsia="宋体" w:cs="宋体"/>
          <w:b/>
          <w:sz w:val="52"/>
          <w:szCs w:val="52"/>
          <w:lang w:eastAsia="zh-CN"/>
        </w:rPr>
        <w:t>采购项目</w:t>
      </w:r>
    </w:p>
    <w:p w14:paraId="03CBC569">
      <w:pPr>
        <w:spacing w:line="360" w:lineRule="auto"/>
        <w:jc w:val="center"/>
        <w:rPr>
          <w:rFonts w:hint="eastAsia" w:ascii="宋体" w:hAnsi="宋体" w:eastAsia="宋体" w:cs="宋体"/>
          <w:b/>
          <w:sz w:val="52"/>
          <w:szCs w:val="52"/>
          <w:lang w:eastAsia="zh-CN"/>
        </w:rPr>
      </w:pPr>
    </w:p>
    <w:p w14:paraId="0BC6388B">
      <w:pPr>
        <w:spacing w:line="360" w:lineRule="auto"/>
        <w:jc w:val="center"/>
        <w:rPr>
          <w:rFonts w:hint="eastAsia" w:ascii="宋体" w:hAnsi="宋体" w:eastAsia="宋体" w:cs="宋体"/>
          <w:b/>
          <w:sz w:val="52"/>
          <w:szCs w:val="52"/>
          <w:lang w:eastAsia="zh-CN"/>
        </w:rPr>
      </w:pPr>
    </w:p>
    <w:p w14:paraId="78254FAA">
      <w:pPr>
        <w:spacing w:line="360" w:lineRule="auto"/>
        <w:jc w:val="center"/>
        <w:rPr>
          <w:rFonts w:hint="eastAsia" w:ascii="宋体" w:hAnsi="宋体" w:eastAsia="宋体" w:cs="宋体"/>
          <w:b/>
          <w:sz w:val="52"/>
          <w:szCs w:val="52"/>
          <w:lang w:eastAsia="zh-CN"/>
        </w:rPr>
      </w:pPr>
      <w:r>
        <w:rPr>
          <w:rFonts w:hint="eastAsia" w:ascii="宋体" w:hAnsi="宋体" w:eastAsia="宋体" w:cs="宋体"/>
          <w:b/>
          <w:sz w:val="52"/>
          <w:szCs w:val="52"/>
        </w:rPr>
        <w:t>询竞价采购</w:t>
      </w:r>
      <w:r>
        <w:rPr>
          <w:rFonts w:hint="eastAsia" w:ascii="宋体" w:hAnsi="宋体" w:cs="宋体"/>
          <w:b/>
          <w:sz w:val="52"/>
          <w:szCs w:val="52"/>
          <w:lang w:eastAsia="zh-CN"/>
        </w:rPr>
        <w:t>公告</w:t>
      </w:r>
    </w:p>
    <w:p w14:paraId="1BEB7632">
      <w:pPr>
        <w:spacing w:line="360" w:lineRule="auto"/>
        <w:jc w:val="center"/>
        <w:rPr>
          <w:rFonts w:hint="eastAsia"/>
          <w:b/>
          <w:bCs/>
          <w:sz w:val="36"/>
        </w:rPr>
      </w:pPr>
    </w:p>
    <w:p w14:paraId="57A76443">
      <w:pPr>
        <w:spacing w:line="360" w:lineRule="auto"/>
        <w:jc w:val="center"/>
        <w:rPr>
          <w:rFonts w:hint="eastAsia"/>
          <w:b/>
          <w:bCs/>
          <w:sz w:val="36"/>
        </w:rPr>
      </w:pPr>
      <w:r>
        <w:rPr>
          <w:rFonts w:hint="eastAsia"/>
          <w:b/>
          <w:bCs/>
          <w:sz w:val="36"/>
        </w:rPr>
        <w:t>文件编号：61139925120555</w:t>
      </w:r>
    </w:p>
    <w:p w14:paraId="69ADC40B">
      <w:pPr>
        <w:spacing w:line="360" w:lineRule="auto"/>
        <w:jc w:val="center"/>
        <w:rPr>
          <w:rFonts w:hint="eastAsia"/>
          <w:b/>
          <w:bCs/>
          <w:sz w:val="36"/>
        </w:rPr>
      </w:pPr>
    </w:p>
    <w:p w14:paraId="05ABC908">
      <w:pPr>
        <w:spacing w:line="360" w:lineRule="auto"/>
        <w:jc w:val="center"/>
        <w:rPr>
          <w:rFonts w:hint="default" w:eastAsia="宋体"/>
          <w:b/>
          <w:bCs/>
          <w:sz w:val="36"/>
          <w:lang w:val="en-US" w:eastAsia="zh-CN"/>
        </w:rPr>
      </w:pPr>
    </w:p>
    <w:p w14:paraId="4A01DC40">
      <w:pPr>
        <w:spacing w:line="360" w:lineRule="auto"/>
        <w:ind w:right="-506" w:rightChars="-241"/>
        <w:rPr>
          <w:rFonts w:hint="eastAsia"/>
          <w:sz w:val="32"/>
        </w:rPr>
      </w:pPr>
      <w:r>
        <w:rPr>
          <w:rFonts w:hint="eastAsia" w:ascii="宋体" w:hAnsi="宋体"/>
          <w:b/>
          <w:sz w:val="32"/>
          <w:szCs w:val="32"/>
        </w:rPr>
        <w:t xml:space="preserve">                </w:t>
      </w:r>
    </w:p>
    <w:p w14:paraId="286F784A">
      <w:pPr>
        <w:spacing w:line="360" w:lineRule="auto"/>
        <w:ind w:firstLine="640" w:firstLineChars="200"/>
        <w:jc w:val="center"/>
        <w:rPr>
          <w:rFonts w:hint="eastAsia"/>
          <w:sz w:val="32"/>
        </w:rPr>
      </w:pPr>
    </w:p>
    <w:p w14:paraId="206E5895">
      <w:pPr>
        <w:spacing w:line="360" w:lineRule="auto"/>
        <w:ind w:left="2314" w:leftChars="172" w:hanging="1953" w:hangingChars="608"/>
        <w:jc w:val="center"/>
        <w:rPr>
          <w:rFonts w:hint="eastAsia" w:ascii="Times New Roman" w:hAnsi="Times New Roman" w:eastAsia="宋体" w:cs="Times New Roman"/>
          <w:b/>
          <w:bCs/>
          <w:sz w:val="32"/>
          <w:szCs w:val="32"/>
          <w:u w:val="none"/>
          <w:lang w:val="en-US" w:eastAsia="zh-CN"/>
        </w:rPr>
      </w:pPr>
      <w:r>
        <w:rPr>
          <w:rFonts w:hint="eastAsia" w:cs="Times New Roman"/>
          <w:b/>
          <w:bCs/>
          <w:sz w:val="32"/>
          <w:szCs w:val="32"/>
          <w:u w:val="none"/>
          <w:lang w:val="en-US" w:eastAsia="zh-CN"/>
        </w:rPr>
        <w:t>山东金岭矿业股份有限公司</w:t>
      </w:r>
    </w:p>
    <w:p w14:paraId="6FB709AC">
      <w:pPr>
        <w:spacing w:line="360" w:lineRule="auto"/>
        <w:ind w:left="2314" w:leftChars="172" w:hanging="1953" w:hangingChars="608"/>
        <w:jc w:val="center"/>
        <w:rPr>
          <w:rFonts w:hint="default" w:ascii="Times New Roman" w:hAnsi="Times New Roman" w:eastAsia="宋体" w:cs="Times New Roman"/>
          <w:b/>
          <w:bCs/>
          <w:sz w:val="32"/>
          <w:szCs w:val="32"/>
          <w:u w:val="none"/>
          <w:lang w:val="en-US" w:eastAsia="zh-CN"/>
        </w:rPr>
        <w:sectPr>
          <w:headerReference r:id="rId3" w:type="default"/>
          <w:footerReference r:id="rId4" w:type="default"/>
          <w:footerReference r:id="rId5" w:type="even"/>
          <w:pgSz w:w="11906" w:h="16838"/>
          <w:pgMar w:top="1440" w:right="1106" w:bottom="1440" w:left="1800" w:header="851" w:footer="992" w:gutter="0"/>
          <w:cols w:space="720" w:num="1"/>
          <w:docGrid w:type="lines" w:linePitch="312" w:charSpace="0"/>
        </w:sectPr>
      </w:pPr>
      <w:r>
        <w:rPr>
          <w:rFonts w:hint="eastAsia" w:ascii="Times New Roman" w:hAnsi="Times New Roman" w:eastAsia="宋体" w:cs="Times New Roman"/>
          <w:b/>
          <w:bCs/>
          <w:sz w:val="32"/>
          <w:szCs w:val="32"/>
          <w:u w:val="none"/>
          <w:lang w:val="en-US" w:eastAsia="zh-CN"/>
        </w:rPr>
        <w:t>2025年</w:t>
      </w:r>
      <w:r>
        <w:rPr>
          <w:rFonts w:hint="eastAsia" w:cs="Times New Roman"/>
          <w:b/>
          <w:bCs/>
          <w:sz w:val="32"/>
          <w:szCs w:val="32"/>
          <w:u w:val="none"/>
          <w:lang w:val="en-US" w:eastAsia="zh-CN"/>
        </w:rPr>
        <w:t>12</w:t>
      </w:r>
      <w:r>
        <w:rPr>
          <w:rFonts w:hint="eastAsia" w:ascii="Times New Roman" w:hAnsi="Times New Roman" w:eastAsia="宋体" w:cs="Times New Roman"/>
          <w:b/>
          <w:bCs/>
          <w:sz w:val="32"/>
          <w:szCs w:val="32"/>
          <w:u w:val="none"/>
          <w:lang w:val="en-US" w:eastAsia="zh-CN"/>
        </w:rPr>
        <w:t>月</w:t>
      </w:r>
      <w:r>
        <w:rPr>
          <w:rFonts w:hint="eastAsia" w:cs="Times New Roman"/>
          <w:b/>
          <w:bCs/>
          <w:sz w:val="32"/>
          <w:szCs w:val="32"/>
          <w:u w:val="none"/>
          <w:lang w:val="en-US" w:eastAsia="zh-CN"/>
        </w:rPr>
        <w:t>08</w:t>
      </w:r>
      <w:r>
        <w:rPr>
          <w:rFonts w:hint="eastAsia" w:ascii="Times New Roman" w:hAnsi="Times New Roman" w:eastAsia="宋体" w:cs="Times New Roman"/>
          <w:b/>
          <w:bCs/>
          <w:sz w:val="32"/>
          <w:szCs w:val="32"/>
          <w:u w:val="none"/>
          <w:lang w:val="en-US" w:eastAsia="zh-CN"/>
        </w:rPr>
        <w:t>日</w:t>
      </w:r>
    </w:p>
    <w:p w14:paraId="75BC6B3E">
      <w:pPr>
        <w:pStyle w:val="3"/>
        <w:keepNext/>
        <w:keepLines/>
        <w:pageBreakBefore w:val="0"/>
        <w:widowControl w:val="0"/>
        <w:kinsoku/>
        <w:wordWrap/>
        <w:overflowPunct/>
        <w:topLinePunct w:val="0"/>
        <w:autoSpaceDE/>
        <w:autoSpaceDN/>
        <w:bidi w:val="0"/>
        <w:adjustRightInd/>
        <w:snapToGrid w:val="0"/>
        <w:spacing w:before="0" w:after="0" w:line="360" w:lineRule="auto"/>
        <w:textAlignment w:val="auto"/>
        <w:rPr>
          <w:rFonts w:hint="eastAsia" w:ascii="黑体" w:eastAsia="黑体"/>
          <w:sz w:val="44"/>
          <w:lang w:eastAsia="zh-CN"/>
        </w:rPr>
      </w:pPr>
      <w:bookmarkStart w:id="0" w:name="_Hlt9666678"/>
      <w:bookmarkEnd w:id="0"/>
      <w:bookmarkStart w:id="1" w:name="_Toc332314493"/>
      <w:bookmarkStart w:id="2" w:name="_Toc253382676"/>
      <w:r>
        <w:rPr>
          <w:rFonts w:hint="eastAsia" w:ascii="黑体" w:eastAsia="黑体"/>
          <w:sz w:val="44"/>
        </w:rPr>
        <w:t>询竞价</w:t>
      </w:r>
      <w:r>
        <w:rPr>
          <w:rFonts w:hint="eastAsia" w:ascii="黑体" w:eastAsia="黑体"/>
          <w:sz w:val="44"/>
          <w:lang w:eastAsia="zh-CN"/>
        </w:rPr>
        <w:t>公告</w:t>
      </w:r>
    </w:p>
    <w:p w14:paraId="62682AC6">
      <w:pPr>
        <w:pageBreakBefore w:val="0"/>
        <w:widowControl w:val="0"/>
        <w:kinsoku/>
        <w:wordWrap/>
        <w:overflowPunct/>
        <w:topLinePunct w:val="0"/>
        <w:autoSpaceDE/>
        <w:autoSpaceDN/>
        <w:bidi w:val="0"/>
        <w:adjustRightInd/>
        <w:snapToGrid w:val="0"/>
        <w:spacing w:line="560" w:lineRule="exact"/>
        <w:jc w:val="left"/>
        <w:textAlignment w:val="auto"/>
        <w:rPr>
          <w:rFonts w:hint="eastAsia" w:ascii="宋体" w:hAnsi="宋体" w:eastAsia="宋体" w:cs="宋体"/>
          <w:sz w:val="28"/>
          <w:szCs w:val="28"/>
          <w:u w:val="none"/>
          <w:lang w:eastAsia="zh-CN"/>
        </w:rPr>
      </w:pPr>
      <w:r>
        <w:rPr>
          <w:rFonts w:hint="eastAsia" w:ascii="宋体" w:hAnsi="宋体"/>
          <w:sz w:val="24"/>
          <w:szCs w:val="24"/>
          <w:u w:val="none"/>
        </w:rPr>
        <w:t xml:space="preserve"> </w:t>
      </w:r>
      <w:r>
        <w:rPr>
          <w:rFonts w:hint="eastAsia" w:ascii="宋体" w:hAnsi="宋体"/>
          <w:sz w:val="24"/>
          <w:szCs w:val="24"/>
          <w:u w:val="none"/>
          <w:lang w:val="en-US" w:eastAsia="zh-CN"/>
        </w:rPr>
        <w:t xml:space="preserve">    </w:t>
      </w:r>
      <w:r>
        <w:rPr>
          <w:rFonts w:hint="eastAsia" w:ascii="宋体" w:hAnsi="宋体" w:cs="宋体"/>
          <w:sz w:val="28"/>
          <w:szCs w:val="28"/>
          <w:u w:val="none"/>
          <w:lang w:eastAsia="zh-CN"/>
        </w:rPr>
        <w:t>山东金岭矿业股份有限公司</w:t>
      </w:r>
      <w:r>
        <w:rPr>
          <w:rFonts w:hint="eastAsia" w:ascii="宋体" w:hAnsi="宋体" w:eastAsia="宋体" w:cs="宋体"/>
          <w:sz w:val="28"/>
          <w:szCs w:val="28"/>
          <w:u w:val="none"/>
          <w:lang w:eastAsia="zh-CN"/>
        </w:rPr>
        <w:t>现</w:t>
      </w:r>
      <w:r>
        <w:rPr>
          <w:rFonts w:hint="eastAsia" w:ascii="宋体" w:hAnsi="宋体" w:eastAsia="宋体" w:cs="宋体"/>
          <w:sz w:val="28"/>
          <w:szCs w:val="28"/>
          <w:u w:val="none"/>
        </w:rPr>
        <w:t>对</w:t>
      </w:r>
      <w:r>
        <w:rPr>
          <w:rFonts w:hint="eastAsia" w:ascii="宋体" w:hAnsi="宋体" w:cs="宋体"/>
          <w:sz w:val="28"/>
          <w:szCs w:val="28"/>
          <w:u w:val="none"/>
          <w:lang w:eastAsia="zh-CN"/>
        </w:rPr>
        <w:t>GNSS接收机</w:t>
      </w:r>
      <w:r>
        <w:rPr>
          <w:rFonts w:hint="eastAsia" w:ascii="宋体" w:hAnsi="宋体" w:eastAsia="宋体" w:cs="宋体"/>
          <w:sz w:val="28"/>
          <w:szCs w:val="28"/>
          <w:u w:val="none"/>
        </w:rPr>
        <w:t>采购，已完成相关准备工作。</w:t>
      </w:r>
      <w:r>
        <w:rPr>
          <w:rFonts w:hint="eastAsia" w:ascii="宋体" w:hAnsi="宋体" w:eastAsia="宋体" w:cs="宋体"/>
          <w:sz w:val="28"/>
          <w:szCs w:val="28"/>
          <w:u w:val="none"/>
          <w:lang w:eastAsia="zh-CN"/>
        </w:rPr>
        <w:t>现进行公开询竞价。</w:t>
      </w:r>
    </w:p>
    <w:p w14:paraId="5C683847">
      <w:pPr>
        <w:pageBreakBefore w:val="0"/>
        <w:widowControl w:val="0"/>
        <w:numPr>
          <w:ilvl w:val="0"/>
          <w:numId w:val="0"/>
        </w:numPr>
        <w:kinsoku/>
        <w:wordWrap/>
        <w:overflowPunct/>
        <w:topLinePunct w:val="0"/>
        <w:autoSpaceDE/>
        <w:autoSpaceDN/>
        <w:bidi w:val="0"/>
        <w:adjustRightInd/>
        <w:snapToGrid w:val="0"/>
        <w:spacing w:line="560" w:lineRule="exact"/>
        <w:ind w:firstLine="562" w:firstLineChars="200"/>
        <w:textAlignment w:val="auto"/>
        <w:rPr>
          <w:rFonts w:hint="eastAsia" w:ascii="宋体" w:hAnsi="宋体" w:eastAsia="宋体" w:cs="宋体"/>
          <w:b/>
          <w:bCs w:val="0"/>
          <w:kern w:val="2"/>
          <w:sz w:val="28"/>
          <w:szCs w:val="28"/>
          <w:lang w:val="en-US" w:eastAsia="zh-CN" w:bidi="ar-SA"/>
        </w:rPr>
      </w:pPr>
      <w:r>
        <w:rPr>
          <w:rFonts w:hint="eastAsia" w:ascii="宋体" w:hAnsi="宋体" w:eastAsia="宋体" w:cs="宋体"/>
          <w:b/>
          <w:bCs w:val="0"/>
          <w:kern w:val="2"/>
          <w:sz w:val="28"/>
          <w:szCs w:val="28"/>
          <w:lang w:val="en-US" w:eastAsia="zh-CN" w:bidi="ar-SA"/>
        </w:rPr>
        <w:t>一、供应商资质要求：</w:t>
      </w:r>
    </w:p>
    <w:p w14:paraId="210D4DA4">
      <w:pPr>
        <w:pageBreakBefore w:val="0"/>
        <w:widowControl w:val="0"/>
        <w:numPr>
          <w:ilvl w:val="0"/>
          <w:numId w:val="0"/>
        </w:numPr>
        <w:kinsoku/>
        <w:wordWrap/>
        <w:overflowPunct/>
        <w:topLinePunct w:val="0"/>
        <w:autoSpaceDE/>
        <w:autoSpaceDN/>
        <w:bidi w:val="0"/>
        <w:adjustRightInd/>
        <w:snapToGrid w:val="0"/>
        <w:spacing w:line="560" w:lineRule="exact"/>
        <w:ind w:firstLine="562" w:firstLineChars="200"/>
        <w:textAlignment w:val="auto"/>
        <w:rPr>
          <w:rFonts w:hint="eastAsia" w:ascii="宋体" w:hAnsi="宋体" w:eastAsia="宋体" w:cs="宋体"/>
          <w:color w:val="000000"/>
          <w:kern w:val="0"/>
          <w:sz w:val="28"/>
          <w:szCs w:val="28"/>
          <w:highlight w:val="none"/>
          <w:lang w:val="en-US" w:eastAsia="zh-CN"/>
        </w:rPr>
      </w:pPr>
      <w:r>
        <w:rPr>
          <w:rFonts w:hint="eastAsia" w:ascii="宋体" w:hAnsi="宋体" w:eastAsia="宋体" w:cs="宋体"/>
          <w:b/>
          <w:bCs w:val="0"/>
          <w:kern w:val="2"/>
          <w:sz w:val="28"/>
          <w:szCs w:val="28"/>
          <w:highlight w:val="none"/>
          <w:lang w:val="en-US" w:eastAsia="zh-CN" w:bidi="ar-SA"/>
        </w:rPr>
        <w:t>1 参与本项目的供应商须</w:t>
      </w:r>
      <w:r>
        <w:rPr>
          <w:rFonts w:hint="eastAsia" w:ascii="宋体" w:hAnsi="宋体" w:cs="宋体"/>
          <w:b/>
          <w:bCs w:val="0"/>
          <w:kern w:val="2"/>
          <w:sz w:val="28"/>
          <w:szCs w:val="28"/>
          <w:highlight w:val="none"/>
          <w:lang w:val="en-US" w:eastAsia="zh-CN" w:bidi="ar-SA"/>
        </w:rPr>
        <w:t>为所</w:t>
      </w:r>
      <w:r>
        <w:rPr>
          <w:rFonts w:hint="eastAsia" w:ascii="宋体" w:hAnsi="宋体" w:eastAsia="宋体" w:cs="宋体"/>
          <w:b/>
          <w:bCs w:val="0"/>
          <w:kern w:val="2"/>
          <w:sz w:val="28"/>
          <w:szCs w:val="28"/>
          <w:highlight w:val="none"/>
          <w:lang w:val="en-US" w:eastAsia="zh-CN" w:bidi="ar-SA"/>
        </w:rPr>
        <w:t>投产品</w:t>
      </w:r>
      <w:r>
        <w:rPr>
          <w:rFonts w:hint="eastAsia" w:ascii="宋体" w:hAnsi="宋体" w:cs="宋体"/>
          <w:b/>
          <w:bCs w:val="0"/>
          <w:kern w:val="2"/>
          <w:sz w:val="28"/>
          <w:szCs w:val="28"/>
          <w:highlight w:val="none"/>
          <w:lang w:val="en-US" w:eastAsia="zh-CN" w:bidi="ar-SA"/>
        </w:rPr>
        <w:t>的</w:t>
      </w:r>
      <w:r>
        <w:rPr>
          <w:rFonts w:hint="eastAsia" w:ascii="宋体" w:hAnsi="宋体" w:eastAsia="宋体" w:cs="宋体"/>
          <w:b/>
          <w:bCs w:val="0"/>
          <w:kern w:val="2"/>
          <w:sz w:val="28"/>
          <w:szCs w:val="28"/>
          <w:highlight w:val="none"/>
          <w:lang w:val="en-US" w:eastAsia="zh-CN" w:bidi="ar-SA"/>
        </w:rPr>
        <w:t>生产制造商</w:t>
      </w:r>
      <w:r>
        <w:rPr>
          <w:rFonts w:hint="eastAsia" w:ascii="宋体" w:hAnsi="宋体" w:cs="宋体"/>
          <w:b/>
          <w:bCs w:val="0"/>
          <w:kern w:val="2"/>
          <w:sz w:val="28"/>
          <w:szCs w:val="28"/>
          <w:highlight w:val="none"/>
          <w:lang w:val="en-US" w:eastAsia="zh-CN" w:bidi="ar-SA"/>
        </w:rPr>
        <w:t>或授权代理商（平台上传</w:t>
      </w:r>
      <w:r>
        <w:rPr>
          <w:rFonts w:hint="eastAsia" w:ascii="宋体" w:hAnsi="宋体" w:eastAsia="宋体" w:cs="宋体"/>
          <w:b/>
          <w:bCs w:val="0"/>
          <w:kern w:val="2"/>
          <w:sz w:val="28"/>
          <w:szCs w:val="28"/>
          <w:highlight w:val="none"/>
          <w:lang w:val="en-US" w:eastAsia="zh-CN" w:bidi="ar-SA"/>
        </w:rPr>
        <w:t>营业执照</w:t>
      </w:r>
      <w:r>
        <w:rPr>
          <w:rFonts w:hint="eastAsia" w:ascii="宋体" w:hAnsi="宋体" w:cs="宋体"/>
          <w:b/>
          <w:bCs w:val="0"/>
          <w:kern w:val="2"/>
          <w:sz w:val="28"/>
          <w:szCs w:val="28"/>
          <w:highlight w:val="none"/>
          <w:lang w:val="en-US" w:eastAsia="zh-CN" w:bidi="ar-SA"/>
        </w:rPr>
        <w:t>、授权书</w:t>
      </w:r>
      <w:bookmarkStart w:id="8" w:name="_GoBack"/>
      <w:bookmarkEnd w:id="8"/>
      <w:r>
        <w:rPr>
          <w:rFonts w:hint="eastAsia" w:ascii="宋体" w:hAnsi="宋体" w:eastAsia="宋体" w:cs="宋体"/>
          <w:b/>
          <w:bCs w:val="0"/>
          <w:kern w:val="2"/>
          <w:sz w:val="28"/>
          <w:szCs w:val="28"/>
          <w:highlight w:val="none"/>
          <w:lang w:val="en-US" w:eastAsia="zh-CN" w:bidi="ar-SA"/>
        </w:rPr>
        <w:t>等证明文件</w:t>
      </w:r>
      <w:r>
        <w:rPr>
          <w:rFonts w:hint="eastAsia" w:ascii="宋体" w:hAnsi="宋体" w:cs="宋体"/>
          <w:b/>
          <w:bCs w:val="0"/>
          <w:kern w:val="2"/>
          <w:sz w:val="28"/>
          <w:szCs w:val="28"/>
          <w:highlight w:val="none"/>
          <w:lang w:val="en-US" w:eastAsia="zh-CN" w:bidi="ar-SA"/>
        </w:rPr>
        <w:t>）；</w:t>
      </w:r>
    </w:p>
    <w:p w14:paraId="0AA15C6F">
      <w:pPr>
        <w:pageBreakBefore w:val="0"/>
        <w:widowControl w:val="0"/>
        <w:numPr>
          <w:ilvl w:val="0"/>
          <w:numId w:val="0"/>
        </w:numPr>
        <w:kinsoku/>
        <w:wordWrap/>
        <w:overflowPunct/>
        <w:topLinePunct w:val="0"/>
        <w:autoSpaceDE/>
        <w:autoSpaceDN/>
        <w:bidi w:val="0"/>
        <w:adjustRightInd/>
        <w:snapToGrid w:val="0"/>
        <w:spacing w:line="560" w:lineRule="exact"/>
        <w:ind w:firstLine="562" w:firstLineChars="200"/>
        <w:textAlignment w:val="auto"/>
        <w:rPr>
          <w:rFonts w:hint="eastAsia" w:ascii="宋体" w:hAnsi="宋体" w:eastAsia="宋体" w:cs="宋体"/>
          <w:b/>
          <w:bCs w:val="0"/>
          <w:kern w:val="2"/>
          <w:sz w:val="28"/>
          <w:szCs w:val="28"/>
          <w:highlight w:val="none"/>
          <w:lang w:val="en-US" w:eastAsia="zh-CN" w:bidi="ar-SA"/>
        </w:rPr>
      </w:pPr>
      <w:r>
        <w:rPr>
          <w:rFonts w:hint="eastAsia" w:ascii="宋体" w:hAnsi="宋体" w:eastAsia="宋体" w:cs="宋体"/>
          <w:b/>
          <w:bCs w:val="0"/>
          <w:kern w:val="2"/>
          <w:sz w:val="28"/>
          <w:szCs w:val="28"/>
          <w:highlight w:val="none"/>
          <w:lang w:val="en-US" w:eastAsia="zh-CN" w:bidi="ar-SA"/>
        </w:rPr>
        <w:t>2 经采购人2025年度物资定价项目资格审查通过的供应商</w:t>
      </w:r>
      <w:r>
        <w:rPr>
          <w:rFonts w:hint="eastAsia" w:ascii="宋体" w:hAnsi="宋体" w:cs="宋体"/>
          <w:b/>
          <w:bCs w:val="0"/>
          <w:kern w:val="2"/>
          <w:sz w:val="28"/>
          <w:szCs w:val="28"/>
          <w:highlight w:val="none"/>
          <w:lang w:val="en-US" w:eastAsia="zh-CN" w:bidi="ar-SA"/>
        </w:rPr>
        <w:t>也</w:t>
      </w:r>
      <w:r>
        <w:rPr>
          <w:rFonts w:hint="eastAsia" w:ascii="宋体" w:hAnsi="宋体" w:eastAsia="宋体" w:cs="宋体"/>
          <w:b/>
          <w:bCs w:val="0"/>
          <w:kern w:val="2"/>
          <w:sz w:val="28"/>
          <w:szCs w:val="28"/>
          <w:highlight w:val="none"/>
          <w:lang w:val="en-US" w:eastAsia="zh-CN" w:bidi="ar-SA"/>
        </w:rPr>
        <w:t>可</w:t>
      </w:r>
      <w:r>
        <w:rPr>
          <w:rFonts w:hint="eastAsia" w:ascii="宋体" w:hAnsi="宋体" w:cs="宋体"/>
          <w:b/>
          <w:bCs w:val="0"/>
          <w:kern w:val="2"/>
          <w:sz w:val="28"/>
          <w:szCs w:val="28"/>
          <w:highlight w:val="none"/>
          <w:lang w:val="en-US" w:eastAsia="zh-CN" w:bidi="ar-SA"/>
        </w:rPr>
        <w:t>参与本项目。</w:t>
      </w:r>
    </w:p>
    <w:p w14:paraId="4A3B9A34">
      <w:pPr>
        <w:pageBreakBefore w:val="0"/>
        <w:widowControl w:val="0"/>
        <w:numPr>
          <w:ilvl w:val="0"/>
          <w:numId w:val="0"/>
        </w:numPr>
        <w:kinsoku/>
        <w:wordWrap/>
        <w:overflowPunct/>
        <w:topLinePunct w:val="0"/>
        <w:autoSpaceDE/>
        <w:autoSpaceDN/>
        <w:bidi w:val="0"/>
        <w:adjustRightInd/>
        <w:snapToGrid w:val="0"/>
        <w:spacing w:line="560" w:lineRule="exact"/>
        <w:ind w:firstLine="560" w:firstLineChars="200"/>
        <w:textAlignment w:val="auto"/>
        <w:rPr>
          <w:rFonts w:hint="eastAsia" w:ascii="宋体" w:hAnsi="宋体" w:eastAsia="宋体" w:cs="宋体"/>
          <w:bCs/>
          <w:kern w:val="2"/>
          <w:sz w:val="28"/>
          <w:szCs w:val="28"/>
          <w:lang w:val="en-US" w:eastAsia="zh-CN" w:bidi="ar-SA"/>
        </w:rPr>
      </w:pPr>
      <w:r>
        <w:rPr>
          <w:rFonts w:hint="eastAsia" w:ascii="宋体" w:hAnsi="宋体" w:eastAsia="宋体" w:cs="宋体"/>
          <w:bCs/>
          <w:kern w:val="2"/>
          <w:sz w:val="28"/>
          <w:szCs w:val="28"/>
          <w:lang w:val="en-US" w:eastAsia="zh-CN" w:bidi="ar-SA"/>
        </w:rPr>
        <w:t>响应供应商须和采购单位确认采购项目的相关情况，成交后必须按照要求进行生产、送货。如果出现质量不合格，</w:t>
      </w:r>
      <w:r>
        <w:rPr>
          <w:rFonts w:hint="eastAsia"/>
          <w:b/>
          <w:bCs/>
          <w:color w:val="FF0000"/>
          <w:sz w:val="28"/>
          <w:szCs w:val="28"/>
          <w:lang w:val="en-US" w:eastAsia="zh-CN"/>
        </w:rPr>
        <w:t>必须根据采购人要求</w:t>
      </w:r>
      <w:r>
        <w:rPr>
          <w:rFonts w:hint="eastAsia"/>
          <w:b/>
          <w:bCs/>
          <w:color w:val="FF0000"/>
          <w:sz w:val="28"/>
          <w:szCs w:val="28"/>
          <w:highlight w:val="none"/>
          <w:lang w:val="en-US" w:eastAsia="zh-CN"/>
        </w:rPr>
        <w:t>按成交</w:t>
      </w:r>
      <w:r>
        <w:rPr>
          <w:rFonts w:hint="eastAsia"/>
          <w:b/>
          <w:bCs/>
          <w:color w:val="FF0000"/>
          <w:sz w:val="28"/>
          <w:szCs w:val="28"/>
          <w:lang w:val="en-US" w:eastAsia="zh-CN"/>
        </w:rPr>
        <w:t>价格送货直至满足使用要求为止</w:t>
      </w:r>
      <w:r>
        <w:rPr>
          <w:rFonts w:hint="eastAsia" w:ascii="宋体" w:hAnsi="宋体" w:eastAsia="宋体" w:cs="宋体"/>
          <w:bCs/>
          <w:kern w:val="2"/>
          <w:sz w:val="28"/>
          <w:szCs w:val="28"/>
          <w:lang w:val="en-US" w:eastAsia="zh-CN" w:bidi="ar-SA"/>
        </w:rPr>
        <w:t>。</w:t>
      </w:r>
    </w:p>
    <w:p w14:paraId="3109D3C6">
      <w:pPr>
        <w:pStyle w:val="4"/>
        <w:keepNext/>
        <w:keepLines/>
        <w:pageBreakBefore w:val="0"/>
        <w:widowControl w:val="0"/>
        <w:numPr>
          <w:ilvl w:val="0"/>
          <w:numId w:val="0"/>
        </w:numPr>
        <w:kinsoku/>
        <w:wordWrap/>
        <w:overflowPunct/>
        <w:topLinePunct w:val="0"/>
        <w:autoSpaceDE/>
        <w:autoSpaceDN/>
        <w:bidi w:val="0"/>
        <w:adjustRightInd/>
        <w:snapToGrid w:val="0"/>
        <w:spacing w:before="0" w:after="0" w:line="560" w:lineRule="exact"/>
        <w:ind w:firstLine="562" w:firstLineChars="200"/>
        <w:textAlignment w:val="auto"/>
        <w:rPr>
          <w:rFonts w:hint="eastAsia" w:ascii="宋体" w:hAnsi="宋体" w:eastAsia="宋体" w:cs="宋体"/>
          <w:b/>
          <w:bCs w:val="0"/>
          <w:sz w:val="28"/>
          <w:szCs w:val="28"/>
        </w:rPr>
      </w:pPr>
      <w:r>
        <w:rPr>
          <w:rFonts w:hint="eastAsia" w:ascii="宋体" w:hAnsi="宋体" w:eastAsia="宋体" w:cs="宋体"/>
          <w:b/>
          <w:bCs w:val="0"/>
          <w:sz w:val="28"/>
          <w:szCs w:val="28"/>
          <w:lang w:val="en-US" w:eastAsia="zh-CN"/>
        </w:rPr>
        <w:t>二、</w:t>
      </w:r>
      <w:r>
        <w:rPr>
          <w:rFonts w:hint="eastAsia" w:ascii="宋体" w:hAnsi="宋体" w:eastAsia="宋体" w:cs="宋体"/>
          <w:b/>
          <w:bCs w:val="0"/>
          <w:sz w:val="28"/>
          <w:szCs w:val="28"/>
        </w:rPr>
        <w:t>项目概况：</w:t>
      </w:r>
    </w:p>
    <w:p w14:paraId="5647F881">
      <w:pPr>
        <w:pStyle w:val="4"/>
        <w:keepNext/>
        <w:keepLines/>
        <w:pageBreakBefore w:val="0"/>
        <w:widowControl w:val="0"/>
        <w:kinsoku/>
        <w:wordWrap/>
        <w:overflowPunct/>
        <w:topLinePunct w:val="0"/>
        <w:autoSpaceDE/>
        <w:autoSpaceDN/>
        <w:bidi w:val="0"/>
        <w:adjustRightInd/>
        <w:snapToGrid w:val="0"/>
        <w:spacing w:before="0" w:after="0" w:line="5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1</w:t>
      </w:r>
      <w:r>
        <w:rPr>
          <w:rFonts w:hint="eastAsia" w:ascii="宋体" w:hAnsi="宋体" w:eastAsia="宋体" w:cs="宋体"/>
          <w:sz w:val="28"/>
          <w:szCs w:val="28"/>
        </w:rPr>
        <w:t>项目名称：</w:t>
      </w:r>
      <w:r>
        <w:rPr>
          <w:rFonts w:hint="eastAsia" w:ascii="宋体" w:hAnsi="宋体" w:eastAsia="宋体" w:cs="宋体"/>
          <w:sz w:val="28"/>
          <w:szCs w:val="28"/>
          <w:u w:val="single"/>
          <w:lang w:eastAsia="zh-CN"/>
        </w:rPr>
        <w:t>GNSS接收机</w:t>
      </w:r>
      <w:r>
        <w:rPr>
          <w:rFonts w:hint="eastAsia" w:ascii="宋体" w:hAnsi="宋体" w:eastAsia="宋体" w:cs="宋体"/>
          <w:bCs/>
          <w:sz w:val="28"/>
          <w:szCs w:val="28"/>
          <w:u w:val="single"/>
          <w:lang w:eastAsia="zh-CN"/>
        </w:rPr>
        <w:t>采购项目</w:t>
      </w:r>
    </w:p>
    <w:p w14:paraId="07D5AB26">
      <w:pPr>
        <w:pStyle w:val="4"/>
        <w:keepNext/>
        <w:keepLines/>
        <w:pageBreakBefore w:val="0"/>
        <w:widowControl w:val="0"/>
        <w:kinsoku/>
        <w:wordWrap/>
        <w:overflowPunct/>
        <w:topLinePunct w:val="0"/>
        <w:autoSpaceDE/>
        <w:autoSpaceDN/>
        <w:bidi w:val="0"/>
        <w:adjustRightInd/>
        <w:snapToGrid w:val="0"/>
        <w:spacing w:before="0" w:after="0" w:line="560" w:lineRule="exact"/>
        <w:ind w:firstLine="560" w:firstLineChars="200"/>
        <w:textAlignment w:val="auto"/>
        <w:rPr>
          <w:rFonts w:hint="eastAsia" w:ascii="宋体" w:hAnsi="宋体" w:eastAsia="宋体" w:cs="宋体"/>
          <w:bCs/>
          <w:sz w:val="28"/>
          <w:szCs w:val="28"/>
          <w:u w:val="none"/>
          <w:lang w:eastAsia="zh-CN"/>
        </w:rPr>
      </w:pPr>
      <w:r>
        <w:rPr>
          <w:rFonts w:hint="eastAsia" w:ascii="宋体" w:hAnsi="宋体" w:eastAsia="宋体" w:cs="宋体"/>
          <w:bCs/>
          <w:sz w:val="28"/>
          <w:szCs w:val="28"/>
          <w:u w:val="none"/>
          <w:lang w:eastAsia="zh-CN"/>
        </w:rPr>
        <w:t>2采购内容：</w:t>
      </w:r>
    </w:p>
    <w:tbl>
      <w:tblPr>
        <w:tblStyle w:val="36"/>
        <w:tblpPr w:leftFromText="180" w:rightFromText="180" w:vertAnchor="text" w:horzAnchor="page" w:tblpX="1613" w:tblpY="1034"/>
        <w:tblOverlap w:val="never"/>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0"/>
        <w:gridCol w:w="2575"/>
        <w:gridCol w:w="3535"/>
        <w:gridCol w:w="1025"/>
        <w:gridCol w:w="1105"/>
      </w:tblGrid>
      <w:tr w14:paraId="48DDB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560" w:type="pct"/>
            <w:vAlign w:val="center"/>
          </w:tcPr>
          <w:p w14:paraId="3B12E12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bCs/>
                <w:kern w:val="2"/>
                <w:sz w:val="28"/>
                <w:szCs w:val="28"/>
                <w:lang w:val="en-US" w:eastAsia="zh-CN" w:bidi="ar-SA"/>
              </w:rPr>
            </w:pPr>
            <w:bookmarkStart w:id="3" w:name="OLE_LINK1" w:colFirst="0" w:colLast="3"/>
            <w:r>
              <w:rPr>
                <w:rFonts w:hint="eastAsia" w:ascii="宋体" w:hAnsi="宋体" w:eastAsia="宋体" w:cs="宋体"/>
                <w:bCs/>
                <w:kern w:val="2"/>
                <w:sz w:val="28"/>
                <w:szCs w:val="28"/>
                <w:lang w:val="en-US" w:eastAsia="zh-CN" w:bidi="ar-SA"/>
              </w:rPr>
              <w:t>序号</w:t>
            </w:r>
          </w:p>
        </w:tc>
        <w:tc>
          <w:tcPr>
            <w:tcW w:w="1387" w:type="pct"/>
            <w:vAlign w:val="center"/>
          </w:tcPr>
          <w:p w14:paraId="053721C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bCs/>
                <w:kern w:val="2"/>
                <w:sz w:val="28"/>
                <w:szCs w:val="28"/>
                <w:lang w:val="en-US" w:eastAsia="zh-CN" w:bidi="ar-SA"/>
              </w:rPr>
            </w:pPr>
            <w:r>
              <w:rPr>
                <w:rFonts w:hint="eastAsia" w:ascii="宋体" w:hAnsi="宋体" w:eastAsia="宋体" w:cs="宋体"/>
                <w:bCs/>
                <w:kern w:val="2"/>
                <w:sz w:val="28"/>
                <w:szCs w:val="28"/>
                <w:lang w:val="en-US" w:eastAsia="zh-CN" w:bidi="ar-SA"/>
              </w:rPr>
              <w:t>名称</w:t>
            </w:r>
          </w:p>
        </w:tc>
        <w:tc>
          <w:tcPr>
            <w:tcW w:w="1904" w:type="pct"/>
            <w:vAlign w:val="center"/>
          </w:tcPr>
          <w:p w14:paraId="13C9ED9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Cs/>
                <w:kern w:val="2"/>
                <w:sz w:val="28"/>
                <w:szCs w:val="28"/>
                <w:lang w:val="en-US" w:eastAsia="zh-CN" w:bidi="ar-SA"/>
              </w:rPr>
            </w:pPr>
            <w:r>
              <w:rPr>
                <w:rFonts w:hint="eastAsia" w:ascii="宋体" w:hAnsi="宋体" w:cs="宋体"/>
                <w:bCs/>
                <w:kern w:val="2"/>
                <w:sz w:val="28"/>
                <w:szCs w:val="28"/>
                <w:lang w:val="en-US" w:eastAsia="zh-CN" w:bidi="ar-SA"/>
              </w:rPr>
              <w:t>规格</w:t>
            </w:r>
          </w:p>
        </w:tc>
        <w:tc>
          <w:tcPr>
            <w:tcW w:w="552" w:type="pct"/>
            <w:vAlign w:val="center"/>
          </w:tcPr>
          <w:p w14:paraId="7BB644C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bCs/>
                <w:kern w:val="2"/>
                <w:sz w:val="28"/>
                <w:szCs w:val="28"/>
                <w:lang w:val="en-US" w:eastAsia="zh-CN" w:bidi="ar-SA"/>
              </w:rPr>
            </w:pPr>
            <w:r>
              <w:rPr>
                <w:rFonts w:hint="eastAsia" w:ascii="宋体" w:hAnsi="宋体" w:eastAsia="宋体" w:cs="宋体"/>
                <w:bCs/>
                <w:kern w:val="2"/>
                <w:sz w:val="28"/>
                <w:szCs w:val="28"/>
                <w:lang w:val="en-US" w:eastAsia="zh-CN" w:bidi="ar-SA"/>
              </w:rPr>
              <w:t>单位</w:t>
            </w:r>
          </w:p>
        </w:tc>
        <w:tc>
          <w:tcPr>
            <w:tcW w:w="595" w:type="pct"/>
            <w:vAlign w:val="center"/>
          </w:tcPr>
          <w:p w14:paraId="580C0B3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Cs/>
                <w:kern w:val="2"/>
                <w:sz w:val="28"/>
                <w:szCs w:val="28"/>
                <w:lang w:val="en-US" w:eastAsia="zh-CN" w:bidi="ar-SA"/>
              </w:rPr>
            </w:pPr>
            <w:r>
              <w:rPr>
                <w:rFonts w:hint="eastAsia" w:ascii="宋体" w:hAnsi="宋体" w:eastAsia="宋体" w:cs="宋体"/>
                <w:bCs/>
                <w:kern w:val="2"/>
                <w:sz w:val="28"/>
                <w:szCs w:val="28"/>
                <w:lang w:val="en-US" w:eastAsia="zh-CN" w:bidi="ar-SA"/>
              </w:rPr>
              <w:t>数量</w:t>
            </w:r>
          </w:p>
        </w:tc>
      </w:tr>
      <w:tr w14:paraId="55F0E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0" w:type="pct"/>
            <w:vAlign w:val="center"/>
          </w:tcPr>
          <w:p w14:paraId="17C14C5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bCs/>
                <w:kern w:val="2"/>
                <w:sz w:val="28"/>
                <w:szCs w:val="28"/>
                <w:lang w:val="en-US" w:eastAsia="zh-CN" w:bidi="ar-SA"/>
              </w:rPr>
            </w:pPr>
            <w:r>
              <w:rPr>
                <w:rFonts w:hint="eastAsia" w:ascii="宋体" w:hAnsi="宋体" w:eastAsia="宋体" w:cs="宋体"/>
                <w:bCs/>
                <w:kern w:val="2"/>
                <w:sz w:val="28"/>
                <w:szCs w:val="28"/>
                <w:lang w:val="en-US" w:eastAsia="zh-CN" w:bidi="ar-SA"/>
              </w:rPr>
              <w:t>1</w:t>
            </w:r>
          </w:p>
        </w:tc>
        <w:tc>
          <w:tcPr>
            <w:tcW w:w="1387" w:type="pct"/>
            <w:vAlign w:val="center"/>
          </w:tcPr>
          <w:p w14:paraId="68A74E4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bCs/>
                <w:kern w:val="2"/>
                <w:sz w:val="28"/>
                <w:szCs w:val="28"/>
                <w:lang w:val="en-US" w:eastAsia="zh-CN" w:bidi="ar-SA"/>
              </w:rPr>
            </w:pPr>
            <w:r>
              <w:rPr>
                <w:rFonts w:hint="eastAsia" w:ascii="宋体" w:hAnsi="宋体" w:cs="宋体"/>
                <w:bCs/>
                <w:kern w:val="2"/>
                <w:sz w:val="28"/>
                <w:szCs w:val="28"/>
                <w:lang w:val="en-US" w:eastAsia="zh-CN" w:bidi="ar-SA"/>
              </w:rPr>
              <w:t xml:space="preserve">GNSS接收机 </w:t>
            </w:r>
          </w:p>
        </w:tc>
        <w:tc>
          <w:tcPr>
            <w:tcW w:w="1904" w:type="pct"/>
            <w:vAlign w:val="center"/>
          </w:tcPr>
          <w:p w14:paraId="352B964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cs="宋体"/>
                <w:bCs/>
                <w:kern w:val="2"/>
                <w:sz w:val="28"/>
                <w:szCs w:val="28"/>
                <w:lang w:val="en-US" w:eastAsia="zh-CN" w:bidi="ar-SA"/>
              </w:rPr>
            </w:pPr>
            <w:r>
              <w:rPr>
                <w:rFonts w:hint="eastAsia" w:ascii="宋体" w:hAnsi="宋体" w:cs="宋体"/>
                <w:bCs/>
                <w:kern w:val="2"/>
                <w:sz w:val="28"/>
                <w:szCs w:val="28"/>
                <w:lang w:val="en-US" w:eastAsia="zh-CN" w:bidi="ar-SA"/>
              </w:rPr>
              <w:t>1.政策合规性要求：必须全面支持北斗导航系统。</w:t>
            </w:r>
          </w:p>
          <w:p w14:paraId="0DCBB8C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cs="宋体"/>
                <w:bCs/>
                <w:kern w:val="2"/>
                <w:sz w:val="28"/>
                <w:szCs w:val="28"/>
                <w:lang w:val="en-US" w:eastAsia="zh-CN" w:bidi="ar-SA"/>
              </w:rPr>
            </w:pPr>
            <w:r>
              <w:rPr>
                <w:rFonts w:hint="eastAsia" w:ascii="宋体" w:hAnsi="宋体" w:cs="宋体"/>
                <w:bCs/>
                <w:kern w:val="2"/>
                <w:sz w:val="28"/>
                <w:szCs w:val="28"/>
                <w:lang w:val="en-US" w:eastAsia="zh-CN" w:bidi="ar-SA"/>
              </w:rPr>
              <w:t>为确保测绘工作的安全、高效进行，所配备的设备必须严格遵循自然资源部关于测绘设备国产化替代的相关要求，仅支持北斗导航系统，坚决排除对GPS、GLONASS等其他卫星系统的依赖。杜绝境外卫星信号对数据采集的影响，有效规避数据泄露的风险，保障国家地理信息安全。同时，设备应具备高效的数据处理能力，支持批量数据的快速处理与导出，并能与主流测绘软件（如CAD、CASS等）格式兼容，以满足测绘工作的实际需求。</w:t>
            </w:r>
          </w:p>
          <w:p w14:paraId="65E69DC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cs="宋体"/>
                <w:bCs/>
                <w:kern w:val="2"/>
                <w:sz w:val="28"/>
                <w:szCs w:val="28"/>
                <w:lang w:val="en-US" w:eastAsia="zh-CN" w:bidi="ar-SA"/>
              </w:rPr>
            </w:pPr>
            <w:r>
              <w:rPr>
                <w:rFonts w:hint="eastAsia" w:ascii="宋体" w:hAnsi="宋体" w:cs="宋体"/>
                <w:bCs/>
                <w:kern w:val="2"/>
                <w:sz w:val="28"/>
                <w:szCs w:val="28"/>
                <w:lang w:val="en-US" w:eastAsia="zh-CN" w:bidi="ar-SA"/>
              </w:rPr>
              <w:t>2.技术性能要求</w:t>
            </w:r>
          </w:p>
          <w:p w14:paraId="7C6803E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cs="宋体"/>
                <w:bCs/>
                <w:kern w:val="2"/>
                <w:sz w:val="28"/>
                <w:szCs w:val="28"/>
                <w:lang w:val="en-US" w:eastAsia="zh-CN" w:bidi="ar-SA"/>
              </w:rPr>
            </w:pPr>
            <w:r>
              <w:rPr>
                <w:rFonts w:hint="eastAsia" w:ascii="宋体" w:hAnsi="宋体" w:cs="宋体"/>
                <w:bCs/>
                <w:kern w:val="2"/>
                <w:sz w:val="28"/>
                <w:szCs w:val="28"/>
                <w:lang w:val="en-US" w:eastAsia="zh-CN" w:bidi="ar-SA"/>
              </w:rPr>
              <w:t>（1）定位精度</w:t>
            </w:r>
          </w:p>
          <w:p w14:paraId="1A8BF8B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cs="宋体"/>
                <w:bCs/>
                <w:kern w:val="2"/>
                <w:sz w:val="28"/>
                <w:szCs w:val="28"/>
                <w:lang w:val="en-US" w:eastAsia="zh-CN" w:bidi="ar-SA"/>
              </w:rPr>
            </w:pPr>
            <w:r>
              <w:rPr>
                <w:rFonts w:hint="eastAsia" w:ascii="宋体" w:hAnsi="宋体" w:cs="宋体"/>
                <w:bCs/>
                <w:kern w:val="2"/>
                <w:sz w:val="28"/>
                <w:szCs w:val="28"/>
                <w:lang w:val="en-US" w:eastAsia="zh-CN" w:bidi="ar-SA"/>
              </w:rPr>
              <w:t>动态定位精度：平面≤10mm+1ppm，高程≤20mm+1ppm（支持网络RTK差分功能，初始化时间≤15秒）；</w:t>
            </w:r>
          </w:p>
          <w:p w14:paraId="1634C14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cs="宋体"/>
                <w:bCs/>
                <w:kern w:val="2"/>
                <w:sz w:val="28"/>
                <w:szCs w:val="28"/>
                <w:lang w:val="en-US" w:eastAsia="zh-CN" w:bidi="ar-SA"/>
              </w:rPr>
            </w:pPr>
            <w:r>
              <w:rPr>
                <w:rFonts w:hint="eastAsia" w:ascii="宋体" w:hAnsi="宋体" w:cs="宋体"/>
                <w:bCs/>
                <w:kern w:val="2"/>
                <w:sz w:val="28"/>
                <w:szCs w:val="28"/>
                <w:lang w:val="en-US" w:eastAsia="zh-CN" w:bidi="ar-SA"/>
              </w:rPr>
              <w:t>静态定位精度：平面≤5mm+1ppm，高程≤10mm+1ppm，满足工程测量、地形测绘等高精度作业需求。</w:t>
            </w:r>
          </w:p>
          <w:p w14:paraId="51B4450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cs="宋体"/>
                <w:bCs/>
                <w:kern w:val="2"/>
                <w:sz w:val="28"/>
                <w:szCs w:val="28"/>
                <w:lang w:val="en-US" w:eastAsia="zh-CN" w:bidi="ar-SA"/>
              </w:rPr>
            </w:pPr>
            <w:r>
              <w:rPr>
                <w:rFonts w:hint="eastAsia" w:ascii="宋体" w:hAnsi="宋体" w:cs="宋体"/>
                <w:bCs/>
                <w:kern w:val="2"/>
                <w:sz w:val="28"/>
                <w:szCs w:val="28"/>
                <w:lang w:val="en-US" w:eastAsia="zh-CN" w:bidi="ar-SA"/>
              </w:rPr>
              <w:t>（2）信号处理能力</w:t>
            </w:r>
          </w:p>
          <w:p w14:paraId="49107C1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cs="宋体"/>
                <w:bCs/>
                <w:kern w:val="2"/>
                <w:sz w:val="28"/>
                <w:szCs w:val="28"/>
                <w:lang w:val="en-US" w:eastAsia="zh-CN" w:bidi="ar-SA"/>
              </w:rPr>
            </w:pPr>
            <w:r>
              <w:rPr>
                <w:rFonts w:hint="eastAsia" w:ascii="宋体" w:hAnsi="宋体" w:cs="宋体"/>
                <w:bCs/>
                <w:kern w:val="2"/>
                <w:sz w:val="28"/>
                <w:szCs w:val="28"/>
                <w:lang w:val="en-US" w:eastAsia="zh-CN" w:bidi="ar-SA"/>
              </w:rPr>
              <w:t>具备强抗干扰能力，可在复杂电磁环境（如矿区）下稳定接收北斗信号，避免因信号收敛速度慢导致的作业效率下降问题。</w:t>
            </w:r>
          </w:p>
          <w:p w14:paraId="029216B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cs="宋体"/>
                <w:bCs/>
                <w:kern w:val="2"/>
                <w:sz w:val="28"/>
                <w:szCs w:val="28"/>
                <w:lang w:val="en-US" w:eastAsia="zh-CN" w:bidi="ar-SA"/>
              </w:rPr>
            </w:pPr>
            <w:r>
              <w:rPr>
                <w:rFonts w:hint="eastAsia" w:ascii="宋体" w:hAnsi="宋体" w:cs="宋体"/>
                <w:bCs/>
                <w:kern w:val="2"/>
                <w:sz w:val="28"/>
                <w:szCs w:val="28"/>
                <w:lang w:val="en-US" w:eastAsia="zh-CN" w:bidi="ar-SA"/>
              </w:rPr>
              <w:t>3.功能适配要求</w:t>
            </w:r>
          </w:p>
          <w:p w14:paraId="17C486B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cs="宋体"/>
                <w:bCs/>
                <w:kern w:val="2"/>
                <w:sz w:val="28"/>
                <w:szCs w:val="28"/>
                <w:lang w:val="en-US" w:eastAsia="zh-CN" w:bidi="ar-SA"/>
              </w:rPr>
            </w:pPr>
            <w:r>
              <w:rPr>
                <w:rFonts w:hint="eastAsia" w:ascii="宋体" w:hAnsi="宋体" w:cs="宋体"/>
                <w:bCs/>
                <w:kern w:val="2"/>
                <w:sz w:val="28"/>
                <w:szCs w:val="28"/>
                <w:lang w:val="en-US" w:eastAsia="zh-CN" w:bidi="ar-SA"/>
              </w:rPr>
              <w:t>（1）网络通信与续航</w:t>
            </w:r>
          </w:p>
          <w:p w14:paraId="013EF79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cs="宋体"/>
                <w:bCs/>
                <w:kern w:val="2"/>
                <w:sz w:val="28"/>
                <w:szCs w:val="28"/>
                <w:lang w:val="en-US" w:eastAsia="zh-CN" w:bidi="ar-SA"/>
              </w:rPr>
            </w:pPr>
            <w:r>
              <w:rPr>
                <w:rFonts w:hint="eastAsia" w:ascii="宋体" w:hAnsi="宋体" w:cs="宋体"/>
                <w:bCs/>
                <w:kern w:val="2"/>
                <w:sz w:val="28"/>
                <w:szCs w:val="28"/>
                <w:lang w:val="en-US" w:eastAsia="zh-CN" w:bidi="ar-SA"/>
              </w:rPr>
              <w:t>本公司可享受终身免费使用网络账号权。设备内置4G/5G全网通模块，支持多基站差分信号接收，确保在复杂环境下（例如矿区）网络的稳定运行；同时，采用双电池设计，单块电池续航能力达到或超过12小时，充分满足野外全天候作业的需求。</w:t>
            </w:r>
          </w:p>
          <w:p w14:paraId="0FA9F30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cs="宋体"/>
                <w:bCs/>
                <w:kern w:val="2"/>
                <w:sz w:val="28"/>
                <w:szCs w:val="28"/>
                <w:lang w:val="en-US" w:eastAsia="zh-CN" w:bidi="ar-SA"/>
              </w:rPr>
            </w:pPr>
            <w:r>
              <w:rPr>
                <w:rFonts w:hint="eastAsia" w:ascii="宋体" w:hAnsi="宋体" w:cs="宋体"/>
                <w:bCs/>
                <w:kern w:val="2"/>
                <w:sz w:val="28"/>
                <w:szCs w:val="28"/>
                <w:lang w:val="en-US" w:eastAsia="zh-CN" w:bidi="ar-SA"/>
              </w:rPr>
              <w:t>（2）环境适应性</w:t>
            </w:r>
          </w:p>
          <w:p w14:paraId="7036EC5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cs="宋体"/>
                <w:bCs/>
                <w:kern w:val="2"/>
                <w:sz w:val="28"/>
                <w:szCs w:val="28"/>
                <w:lang w:val="en-US" w:eastAsia="zh-CN" w:bidi="ar-SA"/>
              </w:rPr>
            </w:pPr>
            <w:r>
              <w:rPr>
                <w:rFonts w:hint="eastAsia" w:ascii="宋体" w:hAnsi="宋体" w:cs="宋体"/>
                <w:bCs/>
                <w:kern w:val="2"/>
                <w:sz w:val="28"/>
                <w:szCs w:val="28"/>
                <w:lang w:val="en-US" w:eastAsia="zh-CN" w:bidi="ar-SA"/>
              </w:rPr>
              <w:t>防护等级≥IP67（防尘防水），适应矿区等复杂野外环境。</w:t>
            </w:r>
          </w:p>
          <w:p w14:paraId="4AB7892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cs="宋体"/>
                <w:bCs/>
                <w:kern w:val="2"/>
                <w:sz w:val="28"/>
                <w:szCs w:val="28"/>
                <w:lang w:val="en-US" w:eastAsia="zh-CN" w:bidi="ar-SA"/>
              </w:rPr>
            </w:pPr>
            <w:r>
              <w:rPr>
                <w:rFonts w:hint="eastAsia" w:ascii="宋体" w:hAnsi="宋体" w:cs="宋体"/>
                <w:bCs/>
                <w:kern w:val="2"/>
                <w:sz w:val="28"/>
                <w:szCs w:val="28"/>
                <w:lang w:val="en-US" w:eastAsia="zh-CN" w:bidi="ar-SA"/>
              </w:rPr>
              <w:t>4.授权及服务要求</w:t>
            </w:r>
          </w:p>
          <w:p w14:paraId="3987753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cs="宋体"/>
                <w:bCs/>
                <w:kern w:val="2"/>
                <w:sz w:val="28"/>
                <w:szCs w:val="28"/>
                <w:lang w:val="en-US" w:eastAsia="zh-CN" w:bidi="ar-SA"/>
              </w:rPr>
            </w:pPr>
            <w:r>
              <w:rPr>
                <w:rFonts w:hint="eastAsia" w:ascii="宋体" w:hAnsi="宋体" w:cs="宋体"/>
                <w:bCs/>
                <w:kern w:val="2"/>
                <w:sz w:val="28"/>
                <w:szCs w:val="28"/>
                <w:lang w:val="en-US" w:eastAsia="zh-CN" w:bidi="ar-SA"/>
              </w:rPr>
              <w:t>（1）供应商必须提供生产厂家针对此产品的授权文件原件。</w:t>
            </w:r>
          </w:p>
          <w:p w14:paraId="1A8B28A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cs="宋体"/>
                <w:bCs/>
                <w:kern w:val="2"/>
                <w:sz w:val="28"/>
                <w:szCs w:val="28"/>
                <w:lang w:val="en-US" w:eastAsia="zh-CN" w:bidi="ar-SA"/>
              </w:rPr>
            </w:pPr>
            <w:r>
              <w:rPr>
                <w:rFonts w:hint="eastAsia" w:ascii="宋体" w:hAnsi="宋体" w:cs="宋体"/>
                <w:bCs/>
                <w:kern w:val="2"/>
                <w:sz w:val="28"/>
                <w:szCs w:val="28"/>
                <w:lang w:val="en-US" w:eastAsia="zh-CN" w:bidi="ar-SA"/>
              </w:rPr>
              <w:t>（2）供应商必须提供生产厂加盖公章的售后服务承诺书原件。</w:t>
            </w:r>
          </w:p>
          <w:p w14:paraId="50DF931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cs="宋体"/>
                <w:bCs/>
                <w:kern w:val="2"/>
                <w:sz w:val="28"/>
                <w:szCs w:val="28"/>
                <w:lang w:val="en-US" w:eastAsia="zh-CN" w:bidi="ar-SA"/>
              </w:rPr>
            </w:pPr>
            <w:r>
              <w:rPr>
                <w:rFonts w:hint="eastAsia" w:ascii="宋体" w:hAnsi="宋体" w:cs="宋体"/>
                <w:bCs/>
                <w:kern w:val="2"/>
                <w:sz w:val="28"/>
                <w:szCs w:val="28"/>
                <w:lang w:val="en-US" w:eastAsia="zh-CN" w:bidi="ar-SA"/>
              </w:rPr>
              <w:t>（3）供应商必须具备所配软件和数据终端的代理证明。</w:t>
            </w:r>
          </w:p>
          <w:p w14:paraId="1737A13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bCs/>
                <w:kern w:val="2"/>
                <w:sz w:val="28"/>
                <w:szCs w:val="28"/>
                <w:lang w:val="en-US" w:eastAsia="zh-CN" w:bidi="ar-SA"/>
              </w:rPr>
            </w:pPr>
          </w:p>
        </w:tc>
        <w:tc>
          <w:tcPr>
            <w:tcW w:w="552" w:type="pct"/>
            <w:vAlign w:val="center"/>
          </w:tcPr>
          <w:p w14:paraId="63FAAFC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bCs/>
                <w:kern w:val="2"/>
                <w:sz w:val="28"/>
                <w:szCs w:val="28"/>
                <w:lang w:val="en-US" w:eastAsia="zh-CN" w:bidi="ar-SA"/>
              </w:rPr>
            </w:pPr>
            <w:r>
              <w:rPr>
                <w:rFonts w:hint="eastAsia" w:ascii="宋体" w:hAnsi="宋体" w:cs="宋体"/>
                <w:bCs/>
                <w:kern w:val="2"/>
                <w:sz w:val="28"/>
                <w:szCs w:val="28"/>
                <w:lang w:val="en-US" w:eastAsia="zh-CN" w:bidi="ar-SA"/>
              </w:rPr>
              <w:t>台</w:t>
            </w:r>
          </w:p>
        </w:tc>
        <w:tc>
          <w:tcPr>
            <w:tcW w:w="595" w:type="pct"/>
            <w:vAlign w:val="center"/>
          </w:tcPr>
          <w:p w14:paraId="25B6AF8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bCs/>
                <w:kern w:val="2"/>
                <w:sz w:val="28"/>
                <w:szCs w:val="28"/>
                <w:lang w:val="en-US" w:eastAsia="zh-CN" w:bidi="ar-SA"/>
              </w:rPr>
            </w:pPr>
            <w:r>
              <w:rPr>
                <w:rFonts w:hint="eastAsia" w:ascii="宋体" w:hAnsi="宋体" w:cs="宋体"/>
                <w:bCs/>
                <w:kern w:val="2"/>
                <w:sz w:val="28"/>
                <w:szCs w:val="28"/>
                <w:lang w:val="en-US" w:eastAsia="zh-CN" w:bidi="ar-SA"/>
              </w:rPr>
              <w:t>2</w:t>
            </w:r>
          </w:p>
        </w:tc>
      </w:tr>
      <w:bookmarkEnd w:id="3"/>
    </w:tbl>
    <w:p w14:paraId="03240CBA">
      <w:pPr>
        <w:pStyle w:val="4"/>
        <w:keepNext/>
        <w:keepLines/>
        <w:pageBreakBefore w:val="0"/>
        <w:widowControl w:val="0"/>
        <w:kinsoku/>
        <w:wordWrap/>
        <w:overflowPunct/>
        <w:topLinePunct w:val="0"/>
        <w:autoSpaceDE/>
        <w:autoSpaceDN/>
        <w:bidi w:val="0"/>
        <w:adjustRightInd/>
        <w:snapToGrid w:val="0"/>
        <w:spacing w:before="0" w:after="0" w:line="56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rPr>
        <w:t>3</w:t>
      </w:r>
      <w:r>
        <w:rPr>
          <w:rFonts w:hint="eastAsia" w:ascii="宋体" w:hAnsi="宋体" w:eastAsia="宋体" w:cs="宋体"/>
          <w:sz w:val="28"/>
          <w:szCs w:val="28"/>
          <w:lang w:eastAsia="zh-CN"/>
        </w:rPr>
        <w:t>交货地点</w:t>
      </w:r>
      <w:r>
        <w:rPr>
          <w:rFonts w:hint="eastAsia" w:ascii="宋体" w:hAnsi="宋体" w:eastAsia="宋体" w:cs="宋体"/>
          <w:sz w:val="28"/>
          <w:szCs w:val="28"/>
        </w:rPr>
        <w:t>：</w:t>
      </w:r>
      <w:bookmarkStart w:id="4" w:name="OLE_LINK2"/>
      <w:r>
        <w:rPr>
          <w:rFonts w:hint="eastAsia" w:ascii="宋体" w:hAnsi="宋体" w:eastAsia="宋体" w:cs="宋体"/>
          <w:sz w:val="28"/>
          <w:szCs w:val="28"/>
          <w:u w:val="single"/>
          <w:lang w:eastAsia="zh-CN"/>
        </w:rPr>
        <w:t>山东省淄博市张店区</w:t>
      </w:r>
      <w:r>
        <w:rPr>
          <w:rFonts w:hint="eastAsia" w:ascii="宋体" w:hAnsi="宋体" w:eastAsia="宋体" w:cs="宋体"/>
          <w:sz w:val="28"/>
          <w:szCs w:val="28"/>
          <w:highlight w:val="none"/>
          <w:u w:val="single"/>
          <w:lang w:eastAsia="zh-CN"/>
        </w:rPr>
        <w:t>山东金岭矿业股份有限公司</w:t>
      </w:r>
      <w:bookmarkEnd w:id="4"/>
    </w:p>
    <w:p w14:paraId="00DEE10F">
      <w:pPr>
        <w:pStyle w:val="4"/>
        <w:keepNext/>
        <w:keepLines/>
        <w:pageBreakBefore w:val="0"/>
        <w:widowControl w:val="0"/>
        <w:kinsoku/>
        <w:wordWrap/>
        <w:overflowPunct/>
        <w:topLinePunct w:val="0"/>
        <w:autoSpaceDE/>
        <w:autoSpaceDN/>
        <w:bidi w:val="0"/>
        <w:adjustRightInd/>
        <w:snapToGrid w:val="0"/>
        <w:spacing w:before="0" w:after="0" w:line="560" w:lineRule="exact"/>
        <w:ind w:firstLine="562" w:firstLineChars="200"/>
        <w:textAlignment w:val="auto"/>
        <w:rPr>
          <w:rFonts w:hint="eastAsia" w:ascii="宋体" w:hAnsi="宋体" w:eastAsia="宋体" w:cs="宋体"/>
          <w:b/>
          <w:bCs w:val="0"/>
          <w:kern w:val="2"/>
          <w:sz w:val="28"/>
          <w:szCs w:val="28"/>
          <w:lang w:val="en-US" w:eastAsia="zh-CN" w:bidi="ar-SA"/>
        </w:rPr>
      </w:pPr>
      <w:r>
        <w:rPr>
          <w:rFonts w:hint="eastAsia" w:ascii="宋体" w:hAnsi="宋体" w:eastAsia="宋体" w:cs="宋体"/>
          <w:b/>
          <w:bCs w:val="0"/>
          <w:kern w:val="2"/>
          <w:sz w:val="28"/>
          <w:szCs w:val="28"/>
          <w:lang w:val="en-US" w:eastAsia="zh-CN" w:bidi="ar-SA"/>
        </w:rPr>
        <w:t>三、采购文件的获取</w:t>
      </w:r>
    </w:p>
    <w:p w14:paraId="4DF20368">
      <w:pPr>
        <w:pStyle w:val="4"/>
        <w:keepNext/>
        <w:keepLines/>
        <w:pageBreakBefore w:val="0"/>
        <w:widowControl w:val="0"/>
        <w:kinsoku/>
        <w:wordWrap/>
        <w:overflowPunct/>
        <w:topLinePunct w:val="0"/>
        <w:autoSpaceDE/>
        <w:autoSpaceDN/>
        <w:bidi w:val="0"/>
        <w:adjustRightInd/>
        <w:snapToGrid w:val="0"/>
        <w:spacing w:before="0" w:after="0" w:line="560" w:lineRule="exact"/>
        <w:ind w:firstLine="562" w:firstLineChars="200"/>
        <w:textAlignment w:val="auto"/>
        <w:rPr>
          <w:rFonts w:hint="eastAsia" w:ascii="宋体" w:hAnsi="宋体" w:eastAsia="宋体" w:cs="宋体"/>
          <w:sz w:val="28"/>
          <w:szCs w:val="28"/>
          <w:lang w:val="en-US" w:eastAsia="zh-CN"/>
        </w:rPr>
      </w:pPr>
      <w:r>
        <w:rPr>
          <w:rFonts w:hint="eastAsia" w:ascii="宋体" w:hAnsi="宋体" w:eastAsia="宋体" w:cs="宋体"/>
          <w:b/>
          <w:bCs w:val="0"/>
          <w:sz w:val="28"/>
          <w:szCs w:val="28"/>
          <w:lang w:val="en-US" w:eastAsia="zh-CN"/>
        </w:rPr>
        <w:t>采购文件每件售价 1元，供应商报名后无需缴费，但供应商在报名成功后需电话联系投标咨询业务人员进行资格审查，审查通过后方可参与投标。</w:t>
      </w:r>
    </w:p>
    <w:p w14:paraId="798E50B4">
      <w:pPr>
        <w:pStyle w:val="4"/>
        <w:keepNext/>
        <w:keepLines/>
        <w:pageBreakBefore w:val="0"/>
        <w:widowControl w:val="0"/>
        <w:kinsoku/>
        <w:wordWrap/>
        <w:overflowPunct/>
        <w:topLinePunct w:val="0"/>
        <w:autoSpaceDE/>
        <w:autoSpaceDN/>
        <w:bidi w:val="0"/>
        <w:adjustRightInd/>
        <w:snapToGrid w:val="0"/>
        <w:spacing w:before="0" w:after="0" w:line="56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审查通过后的供应商请于</w:t>
      </w:r>
      <w:r>
        <w:rPr>
          <w:rFonts w:hint="eastAsia" w:ascii="宋体" w:hAnsi="宋体" w:eastAsia="宋体" w:cs="宋体"/>
          <w:b/>
          <w:bCs w:val="0"/>
          <w:color w:val="FF0000"/>
          <w:sz w:val="28"/>
          <w:szCs w:val="28"/>
          <w:lang w:val="en-US" w:eastAsia="zh-CN"/>
        </w:rPr>
        <w:t>2025年12月9日至2025年12月11日</w:t>
      </w:r>
      <w:r>
        <w:rPr>
          <w:rFonts w:hint="eastAsia" w:ascii="宋体" w:hAnsi="宋体" w:eastAsia="宋体" w:cs="宋体"/>
          <w:sz w:val="28"/>
          <w:szCs w:val="28"/>
          <w:lang w:val="en-US" w:eastAsia="zh-CN"/>
        </w:rPr>
        <w:t xml:space="preserve">前登录山钢集团阳光购销平台（http://bams.shansteelgroup.com），下载电子版采购文件。  </w:t>
      </w:r>
    </w:p>
    <w:p w14:paraId="32D621E2">
      <w:pPr>
        <w:pStyle w:val="4"/>
        <w:keepNext/>
        <w:keepLines/>
        <w:pageBreakBefore w:val="0"/>
        <w:widowControl w:val="0"/>
        <w:kinsoku/>
        <w:wordWrap/>
        <w:overflowPunct/>
        <w:topLinePunct w:val="0"/>
        <w:autoSpaceDE/>
        <w:autoSpaceDN/>
        <w:bidi w:val="0"/>
        <w:adjustRightInd/>
        <w:snapToGrid w:val="0"/>
        <w:spacing w:before="0" w:after="0" w:line="560" w:lineRule="exact"/>
        <w:ind w:firstLine="562" w:firstLineChars="200"/>
        <w:textAlignment w:val="auto"/>
        <w:rPr>
          <w:rFonts w:hint="eastAsia" w:ascii="宋体" w:hAnsi="宋体" w:eastAsia="宋体" w:cs="宋体"/>
          <w:sz w:val="28"/>
          <w:szCs w:val="28"/>
        </w:rPr>
      </w:pPr>
      <w:r>
        <w:rPr>
          <w:rFonts w:hint="eastAsia" w:ascii="宋体" w:hAnsi="宋体" w:eastAsia="宋体" w:cs="宋体"/>
          <w:b/>
          <w:bCs w:val="0"/>
          <w:sz w:val="28"/>
          <w:szCs w:val="28"/>
          <w:lang w:val="en-US" w:eastAsia="zh-CN"/>
        </w:rPr>
        <w:t>四、</w:t>
      </w:r>
      <w:r>
        <w:rPr>
          <w:rFonts w:hint="eastAsia" w:ascii="宋体" w:hAnsi="宋体" w:eastAsia="宋体" w:cs="宋体"/>
          <w:b/>
          <w:bCs w:val="0"/>
          <w:sz w:val="28"/>
          <w:szCs w:val="28"/>
        </w:rPr>
        <w:t xml:space="preserve">询竞价采购响应文件的递交   </w:t>
      </w:r>
    </w:p>
    <w:p w14:paraId="0224A9BC">
      <w:pPr>
        <w:pStyle w:val="4"/>
        <w:keepNext/>
        <w:keepLines/>
        <w:pageBreakBefore w:val="0"/>
        <w:widowControl w:val="0"/>
        <w:kinsoku/>
        <w:wordWrap/>
        <w:overflowPunct/>
        <w:topLinePunct w:val="0"/>
        <w:autoSpaceDE/>
        <w:autoSpaceDN/>
        <w:bidi w:val="0"/>
        <w:adjustRightInd/>
        <w:snapToGrid w:val="0"/>
        <w:spacing w:before="0" w:after="0" w:line="560" w:lineRule="exact"/>
        <w:ind w:left="559" w:leftChars="266" w:firstLine="0" w:firstLineChars="0"/>
        <w:textAlignment w:val="auto"/>
        <w:rPr>
          <w:rFonts w:hint="eastAsia" w:ascii="宋体" w:hAnsi="宋体" w:eastAsia="宋体" w:cs="宋体"/>
          <w:sz w:val="28"/>
          <w:szCs w:val="28"/>
        </w:rPr>
      </w:pPr>
      <w:r>
        <w:rPr>
          <w:rFonts w:hint="eastAsia" w:ascii="宋体" w:hAnsi="宋体" w:eastAsia="宋体" w:cs="宋体"/>
          <w:sz w:val="28"/>
          <w:szCs w:val="28"/>
          <w:lang w:eastAsia="zh-CN"/>
        </w:rPr>
        <w:t>响应文件编制</w:t>
      </w:r>
      <w:r>
        <w:rPr>
          <w:rFonts w:hint="eastAsia" w:ascii="宋体" w:hAnsi="宋体" w:eastAsia="宋体" w:cs="宋体"/>
          <w:sz w:val="28"/>
          <w:szCs w:val="28"/>
        </w:rPr>
        <w:t xml:space="preserve">：  </w:t>
      </w:r>
      <w:r>
        <w:rPr>
          <w:rFonts w:hint="eastAsia" w:ascii="宋体" w:hAnsi="宋体" w:eastAsia="宋体" w:cs="宋体"/>
          <w:sz w:val="28"/>
          <w:szCs w:val="28"/>
          <w:u w:val="single"/>
        </w:rPr>
        <w:t xml:space="preserve">网上报价 </w:t>
      </w:r>
      <w:r>
        <w:rPr>
          <w:rFonts w:hint="eastAsia" w:ascii="宋体" w:hAnsi="宋体" w:eastAsia="宋体" w:cs="宋体"/>
          <w:sz w:val="28"/>
          <w:szCs w:val="28"/>
        </w:rPr>
        <w:t xml:space="preserve"> 。</w:t>
      </w:r>
    </w:p>
    <w:p w14:paraId="3430FEDA">
      <w:pPr>
        <w:pStyle w:val="4"/>
        <w:keepNext/>
        <w:keepLines/>
        <w:pageBreakBefore w:val="0"/>
        <w:widowControl w:val="0"/>
        <w:kinsoku/>
        <w:wordWrap/>
        <w:overflowPunct/>
        <w:topLinePunct w:val="0"/>
        <w:autoSpaceDE/>
        <w:autoSpaceDN/>
        <w:bidi w:val="0"/>
        <w:adjustRightInd/>
        <w:snapToGrid w:val="0"/>
        <w:spacing w:before="0" w:after="0" w:line="560" w:lineRule="exact"/>
        <w:ind w:left="559" w:leftChars="266" w:firstLine="0" w:firstLineChars="0"/>
        <w:textAlignment w:val="auto"/>
        <w:rPr>
          <w:rFonts w:hint="eastAsia" w:ascii="宋体" w:hAnsi="宋体" w:eastAsia="宋体" w:cs="宋体"/>
          <w:sz w:val="28"/>
          <w:szCs w:val="28"/>
          <w:lang w:eastAsia="zh-CN"/>
        </w:rPr>
      </w:pPr>
      <w:r>
        <w:rPr>
          <w:rFonts w:hint="eastAsia" w:ascii="宋体" w:hAnsi="宋体" w:eastAsia="宋体" w:cs="宋体"/>
          <w:sz w:val="28"/>
          <w:szCs w:val="28"/>
        </w:rPr>
        <w:t>响应文件递交的截止时间为：</w:t>
      </w:r>
      <w:r>
        <w:rPr>
          <w:rFonts w:hint="eastAsia" w:ascii="宋体" w:hAnsi="宋体" w:eastAsia="宋体" w:cs="宋体"/>
          <w:b/>
          <w:bCs w:val="0"/>
          <w:color w:val="FF0000"/>
          <w:sz w:val="28"/>
          <w:szCs w:val="28"/>
          <w:lang w:val="en-US" w:eastAsia="zh-CN"/>
        </w:rPr>
        <w:t>2025年12月12日</w:t>
      </w:r>
      <w:r>
        <w:rPr>
          <w:rFonts w:hint="eastAsia" w:ascii="宋体" w:hAnsi="宋体" w:eastAsia="宋体" w:cs="宋体"/>
          <w:b/>
          <w:bCs w:val="0"/>
          <w:color w:val="FF0000"/>
          <w:sz w:val="28"/>
          <w:szCs w:val="28"/>
          <w:u w:val="none"/>
          <w:lang w:val="en-US" w:eastAsia="zh-CN"/>
        </w:rPr>
        <w:t>14</w:t>
      </w:r>
      <w:r>
        <w:rPr>
          <w:rFonts w:hint="eastAsia" w:ascii="宋体" w:hAnsi="宋体" w:eastAsia="宋体" w:cs="宋体"/>
          <w:b/>
          <w:bCs w:val="0"/>
          <w:color w:val="FF0000"/>
          <w:sz w:val="28"/>
          <w:szCs w:val="28"/>
          <w:u w:val="none"/>
        </w:rPr>
        <w:t>时</w:t>
      </w:r>
      <w:r>
        <w:rPr>
          <w:rFonts w:hint="eastAsia" w:ascii="宋体" w:hAnsi="宋体" w:eastAsia="宋体" w:cs="宋体"/>
          <w:b/>
          <w:bCs w:val="0"/>
          <w:color w:val="FF0000"/>
          <w:sz w:val="28"/>
          <w:szCs w:val="28"/>
          <w:u w:val="none"/>
          <w:lang w:val="en-US" w:eastAsia="zh-CN"/>
        </w:rPr>
        <w:t>00</w:t>
      </w:r>
      <w:r>
        <w:rPr>
          <w:rFonts w:hint="eastAsia" w:ascii="宋体" w:hAnsi="宋体" w:eastAsia="宋体" w:cs="宋体"/>
          <w:b/>
          <w:bCs w:val="0"/>
          <w:color w:val="FF0000"/>
          <w:sz w:val="28"/>
          <w:szCs w:val="28"/>
          <w:u w:val="none"/>
        </w:rPr>
        <w:t>分</w:t>
      </w:r>
      <w:r>
        <w:rPr>
          <w:rFonts w:hint="eastAsia" w:ascii="宋体" w:hAnsi="宋体" w:eastAsia="宋体" w:cs="宋体"/>
          <w:b/>
          <w:bCs w:val="0"/>
          <w:color w:val="FF0000"/>
          <w:sz w:val="28"/>
          <w:szCs w:val="28"/>
          <w:u w:val="none"/>
          <w:lang w:eastAsia="zh-CN"/>
        </w:rPr>
        <w:t>。</w:t>
      </w:r>
    </w:p>
    <w:p w14:paraId="2837E969">
      <w:pPr>
        <w:pStyle w:val="4"/>
        <w:keepNext/>
        <w:keepLines/>
        <w:pageBreakBefore w:val="0"/>
        <w:widowControl w:val="0"/>
        <w:kinsoku/>
        <w:wordWrap/>
        <w:overflowPunct/>
        <w:topLinePunct w:val="0"/>
        <w:autoSpaceDE/>
        <w:autoSpaceDN/>
        <w:bidi w:val="0"/>
        <w:adjustRightInd/>
        <w:snapToGrid w:val="0"/>
        <w:spacing w:before="0" w:after="0" w:line="560" w:lineRule="exact"/>
        <w:ind w:left="559" w:leftChars="266"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逾期</w:t>
      </w:r>
      <w:r>
        <w:rPr>
          <w:rFonts w:hint="eastAsia" w:ascii="宋体" w:hAnsi="宋体" w:eastAsia="宋体" w:cs="宋体"/>
          <w:sz w:val="28"/>
          <w:szCs w:val="28"/>
          <w:lang w:eastAsia="zh-CN"/>
        </w:rPr>
        <w:t>者</w:t>
      </w:r>
      <w:r>
        <w:rPr>
          <w:rFonts w:hint="eastAsia" w:ascii="宋体" w:hAnsi="宋体" w:eastAsia="宋体" w:cs="宋体"/>
          <w:sz w:val="28"/>
          <w:szCs w:val="28"/>
        </w:rPr>
        <w:t>，采购人不予受理。</w:t>
      </w:r>
    </w:p>
    <w:p w14:paraId="6F0C8F30">
      <w:pPr>
        <w:pStyle w:val="4"/>
        <w:keepNext/>
        <w:keepLines/>
        <w:pageBreakBefore w:val="0"/>
        <w:widowControl w:val="0"/>
        <w:numPr>
          <w:ilvl w:val="0"/>
          <w:numId w:val="0"/>
        </w:numPr>
        <w:kinsoku/>
        <w:wordWrap/>
        <w:overflowPunct/>
        <w:topLinePunct w:val="0"/>
        <w:autoSpaceDE/>
        <w:autoSpaceDN/>
        <w:bidi w:val="0"/>
        <w:adjustRightInd/>
        <w:snapToGrid w:val="0"/>
        <w:spacing w:before="0" w:after="0" w:line="560" w:lineRule="exact"/>
        <w:ind w:firstLine="562" w:firstLineChars="200"/>
        <w:textAlignment w:val="auto"/>
        <w:rPr>
          <w:rFonts w:hint="eastAsia" w:ascii="宋体" w:hAnsi="宋体" w:eastAsia="宋体" w:cs="宋体"/>
          <w:sz w:val="28"/>
          <w:szCs w:val="28"/>
        </w:rPr>
      </w:pPr>
      <w:r>
        <w:rPr>
          <w:rFonts w:hint="eastAsia" w:ascii="宋体" w:hAnsi="宋体" w:eastAsia="宋体" w:cs="宋体"/>
          <w:b/>
          <w:bCs w:val="0"/>
          <w:sz w:val="28"/>
          <w:szCs w:val="28"/>
          <w:lang w:val="en-US" w:eastAsia="zh-CN"/>
        </w:rPr>
        <w:t>五、</w:t>
      </w:r>
      <w:r>
        <w:rPr>
          <w:rFonts w:hint="eastAsia" w:ascii="宋体" w:hAnsi="宋体" w:eastAsia="宋体" w:cs="宋体"/>
          <w:b/>
          <w:bCs w:val="0"/>
          <w:sz w:val="28"/>
          <w:szCs w:val="28"/>
        </w:rPr>
        <w:t xml:space="preserve">联系人及联系方式    </w:t>
      </w:r>
      <w:r>
        <w:rPr>
          <w:rFonts w:hint="eastAsia" w:ascii="宋体" w:hAnsi="宋体" w:eastAsia="宋体" w:cs="宋体"/>
          <w:sz w:val="28"/>
          <w:szCs w:val="28"/>
        </w:rPr>
        <w:t xml:space="preserve">      </w:t>
      </w:r>
    </w:p>
    <w:p w14:paraId="65E77E5E">
      <w:pPr>
        <w:keepNext w:val="0"/>
        <w:keepLines w:val="0"/>
        <w:pageBreakBefore w:val="0"/>
        <w:widowControl w:val="0"/>
        <w:kinsoku/>
        <w:wordWrap/>
        <w:overflowPunct/>
        <w:topLinePunct w:val="0"/>
        <w:autoSpaceDE/>
        <w:autoSpaceDN/>
        <w:bidi w:val="0"/>
        <w:adjustRightInd/>
        <w:snapToGrid w:val="0"/>
        <w:spacing w:line="560" w:lineRule="exact"/>
        <w:ind w:firstLine="840" w:firstLineChars="300"/>
        <w:textAlignment w:val="auto"/>
        <w:rPr>
          <w:rFonts w:hint="eastAsia" w:ascii="宋体" w:hAnsi="宋体" w:eastAsia="宋体" w:cs="宋体"/>
          <w:sz w:val="28"/>
          <w:szCs w:val="28"/>
        </w:rPr>
      </w:pPr>
      <w:r>
        <w:rPr>
          <w:rFonts w:hint="eastAsia" w:ascii="宋体" w:hAnsi="宋体" w:eastAsia="宋体" w:cs="宋体"/>
          <w:sz w:val="28"/>
          <w:szCs w:val="28"/>
        </w:rPr>
        <w:t>咨询时间： 工作日  上午：8:30-11:45      下午：13:30-16:45</w:t>
      </w:r>
    </w:p>
    <w:tbl>
      <w:tblPr>
        <w:tblStyle w:val="35"/>
        <w:tblpPr w:leftFromText="180" w:rightFromText="180" w:vertAnchor="text" w:horzAnchor="margin" w:tblpXSpec="center" w:tblpY="210"/>
        <w:tblOverlap w:val="never"/>
        <w:tblW w:w="84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1454"/>
        <w:gridCol w:w="3209"/>
        <w:gridCol w:w="2977"/>
      </w:tblGrid>
      <w:tr w14:paraId="65A1A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32" w:type="dxa"/>
            <w:noWrap w:val="0"/>
            <w:vAlign w:val="center"/>
          </w:tcPr>
          <w:p w14:paraId="2380584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8"/>
                <w:szCs w:val="28"/>
              </w:rPr>
            </w:pPr>
            <w:r>
              <w:rPr>
                <w:rFonts w:hint="eastAsia" w:ascii="宋体" w:hAnsi="宋体" w:eastAsia="宋体" w:cs="宋体"/>
                <w:sz w:val="28"/>
                <w:szCs w:val="28"/>
              </w:rPr>
              <w:t>序号</w:t>
            </w:r>
          </w:p>
        </w:tc>
        <w:tc>
          <w:tcPr>
            <w:tcW w:w="1454" w:type="dxa"/>
            <w:noWrap w:val="0"/>
            <w:vAlign w:val="center"/>
          </w:tcPr>
          <w:p w14:paraId="0C70C95F">
            <w:pPr>
              <w:keepNext w:val="0"/>
              <w:keepLines w:val="0"/>
              <w:pageBreakBefore w:val="0"/>
              <w:widowControl w:val="0"/>
              <w:kinsoku/>
              <w:wordWrap/>
              <w:overflowPunct/>
              <w:topLinePunct w:val="0"/>
              <w:autoSpaceDE/>
              <w:autoSpaceDN/>
              <w:bidi w:val="0"/>
              <w:adjustRightInd/>
              <w:snapToGrid w:val="0"/>
              <w:spacing w:line="240" w:lineRule="auto"/>
              <w:ind w:firstLine="44" w:firstLineChars="16"/>
              <w:jc w:val="center"/>
              <w:textAlignment w:val="auto"/>
              <w:rPr>
                <w:rFonts w:hint="eastAsia" w:ascii="宋体" w:hAnsi="宋体" w:eastAsia="宋体" w:cs="宋体"/>
                <w:sz w:val="28"/>
                <w:szCs w:val="28"/>
              </w:rPr>
            </w:pPr>
            <w:r>
              <w:rPr>
                <w:rFonts w:hint="eastAsia" w:ascii="宋体" w:hAnsi="宋体" w:eastAsia="宋体" w:cs="宋体"/>
                <w:sz w:val="28"/>
                <w:szCs w:val="28"/>
              </w:rPr>
              <w:t>业务</w:t>
            </w:r>
          </w:p>
        </w:tc>
        <w:tc>
          <w:tcPr>
            <w:tcW w:w="3209" w:type="dxa"/>
            <w:noWrap w:val="0"/>
            <w:vAlign w:val="center"/>
          </w:tcPr>
          <w:p w14:paraId="0646C82D">
            <w:pPr>
              <w:keepNext w:val="0"/>
              <w:keepLines w:val="0"/>
              <w:pageBreakBefore w:val="0"/>
              <w:widowControl w:val="0"/>
              <w:kinsoku/>
              <w:wordWrap/>
              <w:overflowPunct/>
              <w:topLinePunct w:val="0"/>
              <w:autoSpaceDE/>
              <w:autoSpaceDN/>
              <w:bidi w:val="0"/>
              <w:adjustRightInd/>
              <w:snapToGrid w:val="0"/>
              <w:spacing w:line="240" w:lineRule="auto"/>
              <w:ind w:firstLine="44" w:firstLineChars="16"/>
              <w:jc w:val="center"/>
              <w:textAlignment w:val="auto"/>
              <w:rPr>
                <w:rFonts w:hint="eastAsia" w:ascii="宋体" w:hAnsi="宋体" w:eastAsia="宋体" w:cs="宋体"/>
                <w:sz w:val="28"/>
                <w:szCs w:val="28"/>
              </w:rPr>
            </w:pPr>
            <w:r>
              <w:rPr>
                <w:rFonts w:hint="eastAsia" w:ascii="宋体" w:hAnsi="宋体" w:eastAsia="宋体" w:cs="宋体"/>
                <w:sz w:val="28"/>
                <w:szCs w:val="28"/>
              </w:rPr>
              <w:t>联系人</w:t>
            </w:r>
          </w:p>
        </w:tc>
        <w:tc>
          <w:tcPr>
            <w:tcW w:w="2977" w:type="dxa"/>
            <w:noWrap w:val="0"/>
            <w:vAlign w:val="center"/>
          </w:tcPr>
          <w:p w14:paraId="73FC5C9E">
            <w:pPr>
              <w:keepNext w:val="0"/>
              <w:keepLines w:val="0"/>
              <w:pageBreakBefore w:val="0"/>
              <w:widowControl w:val="0"/>
              <w:kinsoku/>
              <w:wordWrap/>
              <w:overflowPunct/>
              <w:topLinePunct w:val="0"/>
              <w:autoSpaceDE/>
              <w:autoSpaceDN/>
              <w:bidi w:val="0"/>
              <w:adjustRightInd/>
              <w:snapToGrid w:val="0"/>
              <w:spacing w:line="240" w:lineRule="auto"/>
              <w:ind w:firstLine="44" w:firstLineChars="16"/>
              <w:jc w:val="center"/>
              <w:textAlignment w:val="auto"/>
              <w:rPr>
                <w:rFonts w:hint="eastAsia" w:ascii="宋体" w:hAnsi="宋体" w:eastAsia="宋体" w:cs="宋体"/>
                <w:sz w:val="28"/>
                <w:szCs w:val="28"/>
              </w:rPr>
            </w:pPr>
            <w:r>
              <w:rPr>
                <w:rFonts w:hint="eastAsia" w:ascii="宋体" w:hAnsi="宋体" w:eastAsia="宋体" w:cs="宋体"/>
                <w:sz w:val="28"/>
                <w:szCs w:val="28"/>
              </w:rPr>
              <w:t>联系方式</w:t>
            </w:r>
          </w:p>
        </w:tc>
      </w:tr>
      <w:tr w14:paraId="11718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832" w:type="dxa"/>
            <w:noWrap w:val="0"/>
            <w:vAlign w:val="center"/>
          </w:tcPr>
          <w:p w14:paraId="133BC25B">
            <w:pPr>
              <w:keepNext w:val="0"/>
              <w:keepLines w:val="0"/>
              <w:pageBreakBefore w:val="0"/>
              <w:widowControl w:val="0"/>
              <w:kinsoku/>
              <w:wordWrap/>
              <w:overflowPunct/>
              <w:topLinePunct w:val="0"/>
              <w:autoSpaceDE/>
              <w:autoSpaceDN/>
              <w:bidi w:val="0"/>
              <w:adjustRightInd/>
              <w:snapToGrid w:val="0"/>
              <w:spacing w:line="240" w:lineRule="auto"/>
              <w:ind w:leftChars="-12" w:hanging="33" w:hangingChars="12"/>
              <w:jc w:val="center"/>
              <w:textAlignment w:val="auto"/>
              <w:rPr>
                <w:rFonts w:hint="eastAsia" w:ascii="宋体" w:hAnsi="宋体" w:eastAsia="宋体" w:cs="宋体"/>
                <w:sz w:val="28"/>
                <w:szCs w:val="28"/>
              </w:rPr>
            </w:pPr>
            <w:r>
              <w:rPr>
                <w:rFonts w:hint="eastAsia" w:ascii="宋体" w:hAnsi="宋体" w:eastAsia="宋体" w:cs="宋体"/>
                <w:sz w:val="28"/>
                <w:szCs w:val="28"/>
              </w:rPr>
              <w:t>1</w:t>
            </w:r>
          </w:p>
        </w:tc>
        <w:tc>
          <w:tcPr>
            <w:tcW w:w="1454" w:type="dxa"/>
            <w:noWrap w:val="0"/>
            <w:vAlign w:val="center"/>
          </w:tcPr>
          <w:p w14:paraId="268F1AC1">
            <w:pPr>
              <w:keepNext w:val="0"/>
              <w:keepLines w:val="0"/>
              <w:pageBreakBefore w:val="0"/>
              <w:widowControl w:val="0"/>
              <w:kinsoku/>
              <w:wordWrap/>
              <w:overflowPunct/>
              <w:topLinePunct w:val="0"/>
              <w:autoSpaceDE/>
              <w:autoSpaceDN/>
              <w:bidi w:val="0"/>
              <w:adjustRightInd/>
              <w:snapToGrid w:val="0"/>
              <w:spacing w:line="240" w:lineRule="auto"/>
              <w:ind w:left="-2" w:leftChars="-1"/>
              <w:jc w:val="center"/>
              <w:textAlignment w:val="auto"/>
              <w:rPr>
                <w:rFonts w:hint="eastAsia" w:ascii="宋体" w:hAnsi="宋体" w:eastAsia="宋体" w:cs="宋体"/>
                <w:sz w:val="28"/>
                <w:szCs w:val="28"/>
              </w:rPr>
            </w:pPr>
            <w:r>
              <w:rPr>
                <w:rFonts w:hint="eastAsia" w:ascii="宋体" w:hAnsi="宋体" w:eastAsia="宋体" w:cs="宋体"/>
                <w:sz w:val="28"/>
                <w:szCs w:val="28"/>
              </w:rPr>
              <w:t>投标咨询</w:t>
            </w:r>
          </w:p>
        </w:tc>
        <w:tc>
          <w:tcPr>
            <w:tcW w:w="3209" w:type="dxa"/>
            <w:noWrap w:val="0"/>
            <w:vAlign w:val="center"/>
          </w:tcPr>
          <w:p w14:paraId="31E28CDB">
            <w:pPr>
              <w:keepNext w:val="0"/>
              <w:keepLines w:val="0"/>
              <w:pageBreakBefore w:val="0"/>
              <w:widowControl w:val="0"/>
              <w:kinsoku/>
              <w:wordWrap/>
              <w:overflowPunct/>
              <w:topLinePunct w:val="0"/>
              <w:autoSpaceDE/>
              <w:autoSpaceDN/>
              <w:bidi w:val="0"/>
              <w:adjustRightInd/>
              <w:snapToGrid w:val="0"/>
              <w:spacing w:line="240" w:lineRule="auto"/>
              <w:ind w:left="-2" w:leftChars="-1" w:firstLine="44" w:firstLineChars="16"/>
              <w:jc w:val="center"/>
              <w:textAlignment w:val="auto"/>
              <w:rPr>
                <w:rFonts w:hint="eastAsia" w:ascii="宋体" w:hAnsi="宋体" w:eastAsia="宋体" w:cs="宋体"/>
                <w:sz w:val="28"/>
                <w:szCs w:val="28"/>
              </w:rPr>
            </w:pPr>
            <w:r>
              <w:rPr>
                <w:rFonts w:hint="eastAsia" w:ascii="宋体" w:hAnsi="宋体" w:eastAsia="宋体" w:cs="宋体"/>
                <w:sz w:val="28"/>
                <w:szCs w:val="28"/>
                <w:lang w:eastAsia="zh-CN"/>
              </w:rPr>
              <w:t>宫</w:t>
            </w:r>
            <w:r>
              <w:rPr>
                <w:rFonts w:hint="eastAsia" w:ascii="宋体" w:hAnsi="宋体" w:eastAsia="宋体" w:cs="宋体"/>
                <w:sz w:val="28"/>
                <w:szCs w:val="28"/>
              </w:rPr>
              <w:t>先生</w:t>
            </w:r>
          </w:p>
        </w:tc>
        <w:tc>
          <w:tcPr>
            <w:tcW w:w="2977" w:type="dxa"/>
            <w:noWrap w:val="0"/>
            <w:vAlign w:val="center"/>
          </w:tcPr>
          <w:p w14:paraId="053E2AF7">
            <w:pPr>
              <w:keepNext w:val="0"/>
              <w:keepLines w:val="0"/>
              <w:pageBreakBefore w:val="0"/>
              <w:widowControl w:val="0"/>
              <w:kinsoku/>
              <w:wordWrap/>
              <w:overflowPunct/>
              <w:topLinePunct w:val="0"/>
              <w:autoSpaceDE/>
              <w:autoSpaceDN/>
              <w:bidi w:val="0"/>
              <w:adjustRightInd/>
              <w:snapToGrid w:val="0"/>
              <w:spacing w:line="240" w:lineRule="auto"/>
              <w:ind w:left="-2" w:leftChars="-1" w:firstLine="44" w:firstLineChars="16"/>
              <w:jc w:val="center"/>
              <w:textAlignment w:val="auto"/>
              <w:rPr>
                <w:rFonts w:hint="eastAsia" w:ascii="宋体" w:hAnsi="宋体" w:eastAsia="宋体" w:cs="宋体"/>
                <w:sz w:val="28"/>
                <w:szCs w:val="28"/>
              </w:rPr>
            </w:pPr>
            <w:r>
              <w:rPr>
                <w:rFonts w:hint="eastAsia" w:ascii="宋体" w:hAnsi="宋体" w:eastAsia="宋体" w:cs="宋体"/>
                <w:sz w:val="28"/>
                <w:szCs w:val="28"/>
              </w:rPr>
              <w:t>0533-3089963</w:t>
            </w:r>
          </w:p>
        </w:tc>
      </w:tr>
      <w:tr w14:paraId="122C5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832" w:type="dxa"/>
            <w:noWrap w:val="0"/>
            <w:vAlign w:val="center"/>
          </w:tcPr>
          <w:p w14:paraId="1FA6A81B">
            <w:pPr>
              <w:keepNext w:val="0"/>
              <w:keepLines w:val="0"/>
              <w:pageBreakBefore w:val="0"/>
              <w:widowControl w:val="0"/>
              <w:kinsoku/>
              <w:wordWrap/>
              <w:overflowPunct/>
              <w:topLinePunct w:val="0"/>
              <w:autoSpaceDE/>
              <w:autoSpaceDN/>
              <w:bidi w:val="0"/>
              <w:adjustRightInd/>
              <w:snapToGrid w:val="0"/>
              <w:spacing w:line="240" w:lineRule="auto"/>
              <w:ind w:leftChars="-12" w:hanging="33" w:hangingChars="12"/>
              <w:jc w:val="center"/>
              <w:textAlignment w:val="auto"/>
              <w:rPr>
                <w:rFonts w:hint="default" w:ascii="宋体" w:hAnsi="宋体" w:eastAsia="宋体" w:cs="宋体"/>
                <w:sz w:val="28"/>
                <w:szCs w:val="28"/>
                <w:lang w:val="en-US" w:eastAsia="zh-CN"/>
              </w:rPr>
            </w:pPr>
            <w:r>
              <w:rPr>
                <w:rFonts w:hint="eastAsia" w:ascii="宋体" w:hAnsi="宋体" w:cs="宋体"/>
                <w:sz w:val="28"/>
                <w:szCs w:val="28"/>
                <w:lang w:val="en-US" w:eastAsia="zh-CN"/>
              </w:rPr>
              <w:t>2</w:t>
            </w:r>
          </w:p>
        </w:tc>
        <w:tc>
          <w:tcPr>
            <w:tcW w:w="1454" w:type="dxa"/>
            <w:noWrap w:val="0"/>
            <w:vAlign w:val="center"/>
          </w:tcPr>
          <w:p w14:paraId="6603546A">
            <w:pPr>
              <w:keepNext w:val="0"/>
              <w:keepLines w:val="0"/>
              <w:pageBreakBefore w:val="0"/>
              <w:widowControl w:val="0"/>
              <w:kinsoku/>
              <w:wordWrap/>
              <w:overflowPunct/>
              <w:topLinePunct w:val="0"/>
              <w:autoSpaceDE/>
              <w:autoSpaceDN/>
              <w:bidi w:val="0"/>
              <w:adjustRightInd/>
              <w:snapToGrid w:val="0"/>
              <w:spacing w:line="240" w:lineRule="auto"/>
              <w:ind w:left="-2" w:leftChars="-1"/>
              <w:jc w:val="center"/>
              <w:textAlignment w:val="auto"/>
              <w:rPr>
                <w:rFonts w:hint="eastAsia" w:ascii="宋体" w:hAnsi="宋体" w:eastAsia="宋体" w:cs="宋体"/>
                <w:sz w:val="28"/>
                <w:szCs w:val="28"/>
              </w:rPr>
            </w:pPr>
            <w:r>
              <w:rPr>
                <w:rFonts w:hint="eastAsia" w:ascii="宋体" w:hAnsi="宋体" w:cs="宋体"/>
                <w:sz w:val="28"/>
                <w:szCs w:val="28"/>
                <w:lang w:eastAsia="zh-CN"/>
              </w:rPr>
              <w:t>技术</w:t>
            </w:r>
            <w:r>
              <w:rPr>
                <w:rFonts w:hint="eastAsia" w:ascii="宋体" w:hAnsi="宋体" w:eastAsia="宋体" w:cs="宋体"/>
                <w:sz w:val="28"/>
                <w:szCs w:val="28"/>
              </w:rPr>
              <w:t>咨询</w:t>
            </w:r>
          </w:p>
        </w:tc>
        <w:tc>
          <w:tcPr>
            <w:tcW w:w="3209" w:type="dxa"/>
            <w:noWrap w:val="0"/>
            <w:vAlign w:val="center"/>
          </w:tcPr>
          <w:p w14:paraId="1CA0ADDA">
            <w:pPr>
              <w:keepNext w:val="0"/>
              <w:keepLines w:val="0"/>
              <w:pageBreakBefore w:val="0"/>
              <w:widowControl w:val="0"/>
              <w:kinsoku/>
              <w:wordWrap/>
              <w:overflowPunct/>
              <w:topLinePunct w:val="0"/>
              <w:autoSpaceDE/>
              <w:autoSpaceDN/>
              <w:bidi w:val="0"/>
              <w:adjustRightInd/>
              <w:snapToGrid w:val="0"/>
              <w:spacing w:line="240" w:lineRule="auto"/>
              <w:ind w:left="-2" w:leftChars="-1" w:firstLine="44" w:firstLineChars="16"/>
              <w:jc w:val="center"/>
              <w:textAlignment w:val="auto"/>
              <w:rPr>
                <w:rFonts w:hint="default" w:ascii="宋体" w:hAnsi="宋体" w:eastAsia="宋体" w:cs="宋体"/>
                <w:sz w:val="28"/>
                <w:szCs w:val="28"/>
                <w:lang w:val="en-US" w:eastAsia="zh-CN"/>
              </w:rPr>
            </w:pPr>
            <w:r>
              <w:rPr>
                <w:rFonts w:hint="eastAsia" w:ascii="宋体" w:hAnsi="宋体" w:cs="宋体"/>
                <w:sz w:val="28"/>
                <w:szCs w:val="28"/>
                <w:lang w:val="en-US" w:eastAsia="zh-CN"/>
              </w:rPr>
              <w:t>刘先生</w:t>
            </w:r>
          </w:p>
        </w:tc>
        <w:tc>
          <w:tcPr>
            <w:tcW w:w="2977" w:type="dxa"/>
            <w:noWrap w:val="0"/>
            <w:vAlign w:val="center"/>
          </w:tcPr>
          <w:p w14:paraId="0B6E0F7A">
            <w:pPr>
              <w:keepNext w:val="0"/>
              <w:keepLines w:val="0"/>
              <w:pageBreakBefore w:val="0"/>
              <w:widowControl w:val="0"/>
              <w:kinsoku/>
              <w:wordWrap/>
              <w:overflowPunct/>
              <w:topLinePunct w:val="0"/>
              <w:autoSpaceDE/>
              <w:autoSpaceDN/>
              <w:bidi w:val="0"/>
              <w:adjustRightInd/>
              <w:snapToGrid w:val="0"/>
              <w:spacing w:line="240" w:lineRule="auto"/>
              <w:ind w:left="-2" w:leftChars="-1" w:firstLine="44" w:firstLineChars="16"/>
              <w:jc w:val="center"/>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0533-3089543</w:t>
            </w:r>
          </w:p>
        </w:tc>
      </w:tr>
      <w:tr w14:paraId="6EAB2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832" w:type="dxa"/>
            <w:noWrap w:val="0"/>
            <w:vAlign w:val="center"/>
          </w:tcPr>
          <w:p w14:paraId="7701D003">
            <w:pPr>
              <w:keepNext w:val="0"/>
              <w:keepLines w:val="0"/>
              <w:pageBreakBefore w:val="0"/>
              <w:widowControl w:val="0"/>
              <w:kinsoku/>
              <w:wordWrap/>
              <w:overflowPunct/>
              <w:topLinePunct w:val="0"/>
              <w:autoSpaceDE/>
              <w:autoSpaceDN/>
              <w:bidi w:val="0"/>
              <w:adjustRightInd/>
              <w:snapToGrid w:val="0"/>
              <w:spacing w:line="240" w:lineRule="auto"/>
              <w:ind w:left="8" w:leftChars="-12" w:hanging="33" w:hangingChars="12"/>
              <w:jc w:val="center"/>
              <w:textAlignment w:val="auto"/>
              <w:rPr>
                <w:rFonts w:hint="default"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3</w:t>
            </w:r>
          </w:p>
        </w:tc>
        <w:tc>
          <w:tcPr>
            <w:tcW w:w="1454" w:type="dxa"/>
            <w:noWrap w:val="0"/>
            <w:vAlign w:val="center"/>
          </w:tcPr>
          <w:p w14:paraId="7CA57387">
            <w:pPr>
              <w:keepNext w:val="0"/>
              <w:keepLines w:val="0"/>
              <w:pageBreakBefore w:val="0"/>
              <w:widowControl w:val="0"/>
              <w:kinsoku/>
              <w:wordWrap/>
              <w:overflowPunct/>
              <w:topLinePunct w:val="0"/>
              <w:autoSpaceDE/>
              <w:autoSpaceDN/>
              <w:bidi w:val="0"/>
              <w:adjustRightInd/>
              <w:snapToGrid w:val="0"/>
              <w:spacing w:line="240" w:lineRule="auto"/>
              <w:ind w:left="-2" w:leftChars="-1"/>
              <w:jc w:val="center"/>
              <w:textAlignment w:val="auto"/>
              <w:rPr>
                <w:rFonts w:hint="eastAsia" w:ascii="宋体" w:hAnsi="宋体" w:eastAsia="宋体" w:cs="宋体"/>
                <w:kern w:val="2"/>
                <w:sz w:val="28"/>
                <w:szCs w:val="28"/>
                <w:lang w:val="en-US" w:eastAsia="zh-CN" w:bidi="ar-SA"/>
              </w:rPr>
            </w:pPr>
            <w:r>
              <w:rPr>
                <w:rFonts w:hint="eastAsia" w:ascii="宋体" w:hAnsi="宋体" w:eastAsia="宋体" w:cs="宋体"/>
                <w:sz w:val="28"/>
                <w:szCs w:val="28"/>
              </w:rPr>
              <w:t>商务咨询</w:t>
            </w:r>
          </w:p>
        </w:tc>
        <w:tc>
          <w:tcPr>
            <w:tcW w:w="3209" w:type="dxa"/>
            <w:noWrap w:val="0"/>
            <w:vAlign w:val="center"/>
          </w:tcPr>
          <w:p w14:paraId="43351479">
            <w:pPr>
              <w:keepNext w:val="0"/>
              <w:keepLines w:val="0"/>
              <w:pageBreakBefore w:val="0"/>
              <w:widowControl w:val="0"/>
              <w:kinsoku/>
              <w:wordWrap/>
              <w:overflowPunct/>
              <w:topLinePunct w:val="0"/>
              <w:autoSpaceDE/>
              <w:autoSpaceDN/>
              <w:bidi w:val="0"/>
              <w:adjustRightInd/>
              <w:snapToGrid w:val="0"/>
              <w:spacing w:line="240" w:lineRule="auto"/>
              <w:ind w:left="-2" w:leftChars="-1" w:firstLine="44" w:firstLineChars="16"/>
              <w:jc w:val="center"/>
              <w:textAlignment w:val="auto"/>
              <w:rPr>
                <w:rFonts w:hint="eastAsia" w:ascii="宋体" w:hAnsi="宋体" w:eastAsia="宋体" w:cs="宋体"/>
                <w:kern w:val="2"/>
                <w:sz w:val="28"/>
                <w:szCs w:val="28"/>
                <w:lang w:val="en-US" w:eastAsia="zh-CN" w:bidi="ar-SA"/>
              </w:rPr>
            </w:pPr>
            <w:r>
              <w:rPr>
                <w:rFonts w:hint="eastAsia" w:ascii="宋体" w:hAnsi="宋体" w:cs="宋体"/>
                <w:sz w:val="28"/>
                <w:szCs w:val="28"/>
                <w:lang w:val="en-US" w:eastAsia="zh-CN"/>
              </w:rPr>
              <w:t>高</w:t>
            </w:r>
            <w:r>
              <w:rPr>
                <w:rFonts w:hint="eastAsia" w:ascii="宋体" w:hAnsi="宋体" w:eastAsia="宋体" w:cs="宋体"/>
                <w:sz w:val="28"/>
                <w:szCs w:val="28"/>
                <w:lang w:val="en-US" w:eastAsia="zh-CN"/>
              </w:rPr>
              <w:t>先生</w:t>
            </w:r>
          </w:p>
        </w:tc>
        <w:tc>
          <w:tcPr>
            <w:tcW w:w="2977" w:type="dxa"/>
            <w:noWrap w:val="0"/>
            <w:vAlign w:val="center"/>
          </w:tcPr>
          <w:p w14:paraId="175EBAC8">
            <w:pPr>
              <w:keepNext w:val="0"/>
              <w:keepLines w:val="0"/>
              <w:pageBreakBefore w:val="0"/>
              <w:widowControl w:val="0"/>
              <w:kinsoku/>
              <w:wordWrap/>
              <w:overflowPunct/>
              <w:topLinePunct w:val="0"/>
              <w:autoSpaceDE/>
              <w:autoSpaceDN/>
              <w:bidi w:val="0"/>
              <w:adjustRightInd/>
              <w:snapToGrid w:val="0"/>
              <w:spacing w:line="240" w:lineRule="auto"/>
              <w:ind w:left="-2" w:leftChars="-1" w:firstLine="44" w:firstLineChars="16"/>
              <w:jc w:val="center"/>
              <w:textAlignment w:val="auto"/>
              <w:rPr>
                <w:rFonts w:hint="default" w:ascii="宋体" w:hAnsi="宋体" w:eastAsia="宋体" w:cs="宋体"/>
                <w:kern w:val="2"/>
                <w:sz w:val="28"/>
                <w:szCs w:val="28"/>
                <w:lang w:val="en-US" w:eastAsia="zh-CN" w:bidi="ar-SA"/>
              </w:rPr>
            </w:pPr>
            <w:r>
              <w:rPr>
                <w:rFonts w:hint="eastAsia" w:ascii="宋体" w:hAnsi="宋体" w:eastAsia="宋体" w:cs="宋体"/>
                <w:kern w:val="0"/>
                <w:sz w:val="28"/>
                <w:szCs w:val="28"/>
              </w:rPr>
              <w:t>0533-308</w:t>
            </w:r>
            <w:r>
              <w:rPr>
                <w:rFonts w:hint="eastAsia" w:ascii="宋体" w:hAnsi="宋体" w:cs="宋体"/>
                <w:kern w:val="0"/>
                <w:sz w:val="28"/>
                <w:szCs w:val="28"/>
                <w:lang w:val="en-US" w:eastAsia="zh-CN"/>
              </w:rPr>
              <w:t>8011</w:t>
            </w:r>
          </w:p>
        </w:tc>
      </w:tr>
      <w:tr w14:paraId="60D50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32" w:type="dxa"/>
            <w:noWrap w:val="0"/>
            <w:vAlign w:val="center"/>
          </w:tcPr>
          <w:p w14:paraId="46D7BD71">
            <w:pPr>
              <w:keepNext w:val="0"/>
              <w:keepLines w:val="0"/>
              <w:pageBreakBefore w:val="0"/>
              <w:widowControl w:val="0"/>
              <w:kinsoku/>
              <w:wordWrap/>
              <w:overflowPunct/>
              <w:topLinePunct w:val="0"/>
              <w:autoSpaceDE/>
              <w:autoSpaceDN/>
              <w:bidi w:val="0"/>
              <w:adjustRightInd/>
              <w:snapToGrid w:val="0"/>
              <w:spacing w:line="240" w:lineRule="auto"/>
              <w:ind w:left="8" w:leftChars="-12" w:hanging="33" w:hangingChars="12"/>
              <w:jc w:val="center"/>
              <w:textAlignment w:val="auto"/>
              <w:rPr>
                <w:rFonts w:hint="default"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4</w:t>
            </w:r>
          </w:p>
        </w:tc>
        <w:tc>
          <w:tcPr>
            <w:tcW w:w="1454" w:type="dxa"/>
            <w:noWrap w:val="0"/>
            <w:vAlign w:val="center"/>
          </w:tcPr>
          <w:p w14:paraId="38F460F7">
            <w:pPr>
              <w:keepNext w:val="0"/>
              <w:keepLines w:val="0"/>
              <w:pageBreakBefore w:val="0"/>
              <w:widowControl w:val="0"/>
              <w:kinsoku/>
              <w:wordWrap/>
              <w:overflowPunct/>
              <w:topLinePunct w:val="0"/>
              <w:autoSpaceDE/>
              <w:autoSpaceDN/>
              <w:bidi w:val="0"/>
              <w:adjustRightInd/>
              <w:snapToGrid w:val="0"/>
              <w:spacing w:line="240" w:lineRule="auto"/>
              <w:ind w:left="-2" w:leftChars="-1"/>
              <w:jc w:val="center"/>
              <w:textAlignment w:val="auto"/>
              <w:rPr>
                <w:rFonts w:hint="eastAsia" w:ascii="宋体" w:hAnsi="宋体" w:eastAsia="宋体" w:cs="宋体"/>
                <w:kern w:val="2"/>
                <w:sz w:val="28"/>
                <w:szCs w:val="28"/>
                <w:lang w:val="en-US" w:eastAsia="zh-CN" w:bidi="ar-SA"/>
              </w:rPr>
            </w:pPr>
            <w:r>
              <w:rPr>
                <w:rFonts w:hint="eastAsia" w:ascii="宋体" w:hAnsi="宋体" w:eastAsia="宋体" w:cs="宋体"/>
                <w:sz w:val="28"/>
                <w:szCs w:val="28"/>
              </w:rPr>
              <w:t>监督</w:t>
            </w:r>
          </w:p>
        </w:tc>
        <w:tc>
          <w:tcPr>
            <w:tcW w:w="3209" w:type="dxa"/>
            <w:noWrap w:val="0"/>
            <w:vAlign w:val="center"/>
          </w:tcPr>
          <w:p w14:paraId="058A774E">
            <w:pPr>
              <w:keepNext w:val="0"/>
              <w:keepLines w:val="0"/>
              <w:pageBreakBefore w:val="0"/>
              <w:widowControl w:val="0"/>
              <w:kinsoku/>
              <w:wordWrap/>
              <w:overflowPunct/>
              <w:topLinePunct w:val="0"/>
              <w:autoSpaceDE/>
              <w:autoSpaceDN/>
              <w:bidi w:val="0"/>
              <w:adjustRightInd/>
              <w:snapToGrid w:val="0"/>
              <w:spacing w:line="240" w:lineRule="auto"/>
              <w:ind w:left="-2" w:leftChars="-1" w:firstLine="44" w:firstLineChars="16"/>
              <w:jc w:val="center"/>
              <w:textAlignment w:val="auto"/>
              <w:rPr>
                <w:rFonts w:hint="eastAsia" w:ascii="宋体" w:hAnsi="宋体" w:eastAsia="宋体" w:cs="宋体"/>
                <w:kern w:val="2"/>
                <w:sz w:val="28"/>
                <w:szCs w:val="28"/>
                <w:lang w:val="en-US" w:eastAsia="zh-CN" w:bidi="ar-SA"/>
              </w:rPr>
            </w:pPr>
          </w:p>
        </w:tc>
        <w:tc>
          <w:tcPr>
            <w:tcW w:w="2977" w:type="dxa"/>
            <w:noWrap w:val="0"/>
            <w:vAlign w:val="center"/>
          </w:tcPr>
          <w:p w14:paraId="39A4E577">
            <w:pPr>
              <w:keepNext w:val="0"/>
              <w:keepLines w:val="0"/>
              <w:pageBreakBefore w:val="0"/>
              <w:widowControl w:val="0"/>
              <w:kinsoku/>
              <w:wordWrap/>
              <w:overflowPunct/>
              <w:topLinePunct w:val="0"/>
              <w:autoSpaceDE/>
              <w:autoSpaceDN/>
              <w:bidi w:val="0"/>
              <w:adjustRightInd/>
              <w:snapToGrid w:val="0"/>
              <w:spacing w:line="240" w:lineRule="auto"/>
              <w:ind w:left="-2" w:leftChars="-1" w:firstLine="44" w:firstLineChars="16"/>
              <w:jc w:val="center"/>
              <w:textAlignment w:val="auto"/>
              <w:rPr>
                <w:rFonts w:hint="eastAsia" w:ascii="宋体" w:hAnsi="宋体" w:eastAsia="宋体" w:cs="宋体"/>
                <w:kern w:val="2"/>
                <w:sz w:val="28"/>
                <w:szCs w:val="28"/>
                <w:lang w:val="en-US" w:eastAsia="zh-CN" w:bidi="ar-SA"/>
              </w:rPr>
            </w:pPr>
            <w:r>
              <w:rPr>
                <w:rFonts w:hint="eastAsia" w:ascii="宋体" w:hAnsi="宋体" w:eastAsia="宋体" w:cs="宋体"/>
                <w:sz w:val="28"/>
                <w:szCs w:val="28"/>
              </w:rPr>
              <w:t>0533-3089311</w:t>
            </w:r>
          </w:p>
        </w:tc>
      </w:tr>
    </w:tbl>
    <w:p w14:paraId="36F70B6F">
      <w:pPr>
        <w:pStyle w:val="4"/>
        <w:keepNext/>
        <w:keepLines/>
        <w:pageBreakBefore w:val="0"/>
        <w:widowControl w:val="0"/>
        <w:kinsoku/>
        <w:wordWrap/>
        <w:overflowPunct/>
        <w:topLinePunct w:val="0"/>
        <w:autoSpaceDE/>
        <w:autoSpaceDN/>
        <w:bidi w:val="0"/>
        <w:adjustRightInd/>
        <w:snapToGrid/>
        <w:spacing w:before="0" w:after="0" w:line="360" w:lineRule="exact"/>
        <w:textAlignment w:val="auto"/>
        <w:rPr>
          <w:rFonts w:hint="eastAsia" w:ascii="宋体" w:hAnsi="宋体"/>
          <w:sz w:val="24"/>
          <w:szCs w:val="24"/>
        </w:rPr>
      </w:pPr>
      <w:r>
        <w:rPr>
          <w:rFonts w:hint="eastAsia" w:ascii="宋体" w:hAnsi="宋体" w:eastAsia="宋体" w:cs="宋体"/>
          <w:sz w:val="24"/>
          <w:szCs w:val="24"/>
        </w:rPr>
        <w:t xml:space="preserve">   </w:t>
      </w:r>
    </w:p>
    <w:p w14:paraId="213D8391">
      <w:pPr>
        <w:pStyle w:val="4"/>
        <w:keepNext/>
        <w:keepLines/>
        <w:pageBreakBefore w:val="0"/>
        <w:widowControl w:val="0"/>
        <w:kinsoku/>
        <w:wordWrap w:val="0"/>
        <w:overflowPunct/>
        <w:topLinePunct w:val="0"/>
        <w:autoSpaceDE/>
        <w:autoSpaceDN/>
        <w:bidi w:val="0"/>
        <w:adjustRightInd/>
        <w:snapToGrid/>
        <w:spacing w:before="0" w:after="0" w:line="360" w:lineRule="exact"/>
        <w:jc w:val="right"/>
        <w:textAlignment w:val="auto"/>
        <w:rPr>
          <w:rFonts w:hint="default" w:ascii="宋体" w:hAnsi="宋体" w:eastAsia="黑体"/>
          <w:sz w:val="24"/>
          <w:szCs w:val="24"/>
          <w:lang w:val="en-US" w:eastAsia="zh-CN"/>
        </w:rPr>
      </w:pPr>
      <w:r>
        <w:rPr>
          <w:rFonts w:hint="eastAsia" w:ascii="宋体" w:hAnsi="宋体"/>
          <w:sz w:val="24"/>
          <w:szCs w:val="24"/>
        </w:rPr>
        <w:t xml:space="preserve">                                   </w:t>
      </w:r>
      <w:r>
        <w:rPr>
          <w:rFonts w:hint="eastAsia" w:ascii="宋体" w:hAnsi="宋体" w:eastAsia="宋体" w:cs="宋体"/>
          <w:sz w:val="28"/>
          <w:szCs w:val="28"/>
          <w:lang w:val="en-US" w:eastAsia="zh-CN"/>
        </w:rPr>
        <w:t xml:space="preserve">    </w:t>
      </w:r>
    </w:p>
    <w:p w14:paraId="57E4D267">
      <w:pPr>
        <w:rPr>
          <w:rFonts w:hint="eastAsia"/>
        </w:rPr>
      </w:pPr>
    </w:p>
    <w:p w14:paraId="3BB3F601">
      <w:pPr>
        <w:jc w:val="center"/>
        <w:rPr>
          <w:rFonts w:hint="eastAsia" w:ascii="黑体" w:hAnsi="Times New Roman" w:eastAsia="黑体" w:cs="Times New Roman"/>
          <w:b/>
          <w:bCs/>
          <w:kern w:val="44"/>
          <w:sz w:val="44"/>
          <w:szCs w:val="44"/>
        </w:rPr>
      </w:pPr>
    </w:p>
    <w:p w14:paraId="3F679429">
      <w:pPr>
        <w:jc w:val="center"/>
        <w:rPr>
          <w:rFonts w:hint="eastAsia" w:ascii="黑体" w:hAnsi="Times New Roman" w:eastAsia="黑体" w:cs="Times New Roman"/>
          <w:b/>
          <w:bCs/>
          <w:kern w:val="44"/>
          <w:sz w:val="44"/>
          <w:szCs w:val="44"/>
        </w:rPr>
      </w:pPr>
    </w:p>
    <w:p w14:paraId="64FA605F">
      <w:pPr>
        <w:jc w:val="center"/>
        <w:rPr>
          <w:rFonts w:hint="eastAsia" w:ascii="黑体" w:hAnsi="Times New Roman" w:eastAsia="黑体" w:cs="Times New Roman"/>
          <w:b/>
          <w:bCs/>
          <w:kern w:val="44"/>
          <w:sz w:val="44"/>
          <w:szCs w:val="44"/>
        </w:rPr>
      </w:pPr>
    </w:p>
    <w:p w14:paraId="6BBFEADF">
      <w:pPr>
        <w:jc w:val="center"/>
        <w:rPr>
          <w:rFonts w:hint="eastAsia" w:ascii="黑体" w:hAnsi="Times New Roman" w:eastAsia="黑体" w:cs="Times New Roman"/>
          <w:b/>
          <w:bCs/>
          <w:kern w:val="44"/>
          <w:sz w:val="44"/>
          <w:szCs w:val="44"/>
        </w:rPr>
      </w:pPr>
    </w:p>
    <w:p w14:paraId="2A50706C">
      <w:pPr>
        <w:jc w:val="center"/>
        <w:rPr>
          <w:rFonts w:hint="eastAsia" w:ascii="黑体" w:hAnsi="Times New Roman" w:eastAsia="黑体" w:cs="Times New Roman"/>
          <w:b/>
          <w:bCs/>
          <w:kern w:val="44"/>
          <w:sz w:val="44"/>
          <w:szCs w:val="44"/>
        </w:rPr>
      </w:pPr>
    </w:p>
    <w:p w14:paraId="2B73D72D">
      <w:pPr>
        <w:jc w:val="center"/>
        <w:rPr>
          <w:rFonts w:ascii="黑体" w:hAnsi="Times New Roman" w:eastAsia="黑体" w:cs="Times New Roman"/>
          <w:b/>
          <w:bCs/>
          <w:kern w:val="44"/>
          <w:sz w:val="44"/>
          <w:szCs w:val="44"/>
        </w:rPr>
      </w:pPr>
      <w:r>
        <w:rPr>
          <w:rFonts w:hint="eastAsia" w:ascii="黑体" w:hAnsi="Times New Roman" w:eastAsia="黑体" w:cs="Times New Roman"/>
          <w:b/>
          <w:bCs/>
          <w:kern w:val="44"/>
          <w:sz w:val="44"/>
          <w:szCs w:val="44"/>
        </w:rPr>
        <w:t>网上投标步骤</w:t>
      </w:r>
    </w:p>
    <w:p w14:paraId="529EA042">
      <w:pPr>
        <w:ind w:firstLine="562" w:firstLineChars="200"/>
        <w:jc w:val="left"/>
        <w:rPr>
          <w:b/>
          <w:bCs/>
          <w:color w:val="C00000"/>
          <w:sz w:val="28"/>
          <w:szCs w:val="28"/>
        </w:rPr>
      </w:pPr>
      <w:r>
        <w:rPr>
          <w:rFonts w:hint="eastAsia"/>
          <w:b/>
          <w:bCs/>
          <w:color w:val="C00000"/>
          <w:sz w:val="28"/>
          <w:szCs w:val="28"/>
        </w:rPr>
        <w:t>标书费缴费确认后操作如下：</w:t>
      </w:r>
    </w:p>
    <w:p w14:paraId="02CF75F7">
      <w:pPr>
        <w:rPr>
          <w:b/>
          <w:bCs/>
          <w:sz w:val="28"/>
          <w:szCs w:val="28"/>
        </w:rPr>
      </w:pPr>
      <w:r>
        <w:rPr>
          <w:rFonts w:hint="eastAsia"/>
          <w:b/>
          <w:bCs/>
          <w:sz w:val="28"/>
          <w:szCs w:val="28"/>
        </w:rPr>
        <w:t>1登录网址：</w:t>
      </w:r>
      <w:r>
        <w:fldChar w:fldCharType="begin"/>
      </w:r>
      <w:r>
        <w:instrText xml:space="preserve"> HYPERLINK "http://bams.shansteelgroup.com，进入到下面界面" </w:instrText>
      </w:r>
      <w:r>
        <w:fldChar w:fldCharType="separate"/>
      </w:r>
      <w:r>
        <w:rPr>
          <w:rStyle w:val="40"/>
          <w:rFonts w:hint="eastAsia"/>
          <w:b/>
          <w:bCs/>
          <w:sz w:val="28"/>
          <w:szCs w:val="28"/>
        </w:rPr>
        <w:t>http://bams.shansteelgroup.com</w:t>
      </w:r>
      <w:r>
        <w:rPr>
          <w:rStyle w:val="40"/>
          <w:rFonts w:hint="eastAsia"/>
          <w:color w:val="auto"/>
          <w:sz w:val="28"/>
          <w:szCs w:val="28"/>
          <w:u w:val="none"/>
        </w:rPr>
        <w:t>，</w:t>
      </w:r>
      <w:r>
        <w:rPr>
          <w:rStyle w:val="40"/>
          <w:rFonts w:hint="eastAsia"/>
          <w:b/>
          <w:bCs/>
          <w:color w:val="000000"/>
          <w:sz w:val="28"/>
          <w:szCs w:val="28"/>
          <w:u w:val="none"/>
        </w:rPr>
        <w:t>进入到下面界面</w:t>
      </w:r>
      <w:r>
        <w:rPr>
          <w:rStyle w:val="40"/>
          <w:rFonts w:hint="eastAsia"/>
          <w:b/>
          <w:bCs/>
          <w:color w:val="000000"/>
          <w:sz w:val="28"/>
          <w:szCs w:val="28"/>
          <w:u w:val="none"/>
        </w:rPr>
        <w:fldChar w:fldCharType="end"/>
      </w:r>
    </w:p>
    <w:p w14:paraId="6640901A">
      <w:pPr>
        <w:rPr>
          <w:b/>
          <w:bCs/>
          <w:sz w:val="28"/>
          <w:szCs w:val="28"/>
        </w:rPr>
      </w:pPr>
      <w:r>
        <w:rPr>
          <w:b/>
          <w:bCs/>
          <w:sz w:val="28"/>
          <w:szCs w:val="28"/>
        </w:rPr>
        <w:drawing>
          <wp:inline distT="0" distB="0" distL="114300" distR="114300">
            <wp:extent cx="6043930" cy="3249930"/>
            <wp:effectExtent l="0" t="0" r="6350" b="11430"/>
            <wp:docPr id="6"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1582681756(1)"/>
                    <pic:cNvPicPr>
                      <a:picLocks noChangeAspect="1"/>
                    </pic:cNvPicPr>
                  </pic:nvPicPr>
                  <pic:blipFill>
                    <a:blip r:embed="rId11"/>
                    <a:stretch>
                      <a:fillRect/>
                    </a:stretch>
                  </pic:blipFill>
                  <pic:spPr>
                    <a:xfrm>
                      <a:off x="0" y="0"/>
                      <a:ext cx="6043930" cy="3249930"/>
                    </a:xfrm>
                    <a:prstGeom prst="rect">
                      <a:avLst/>
                    </a:prstGeom>
                    <a:noFill/>
                    <a:ln>
                      <a:noFill/>
                    </a:ln>
                  </pic:spPr>
                </pic:pic>
              </a:graphicData>
            </a:graphic>
          </wp:inline>
        </w:drawing>
      </w:r>
    </w:p>
    <w:p w14:paraId="2C81255E">
      <w:pPr>
        <w:ind w:firstLine="562" w:firstLineChars="200"/>
        <w:jc w:val="left"/>
        <w:rPr>
          <w:b/>
          <w:bCs/>
          <w:sz w:val="28"/>
          <w:szCs w:val="28"/>
        </w:rPr>
      </w:pPr>
      <w:r>
        <w:rPr>
          <w:rFonts w:hint="eastAsia"/>
          <w:b/>
          <w:bCs/>
          <w:sz w:val="28"/>
          <w:szCs w:val="28"/>
        </w:rPr>
        <w:t>在上图左侧供应商入口处依次输入用户名、密码、验证码后，点击登录。</w:t>
      </w:r>
    </w:p>
    <w:p w14:paraId="29BF4FCE">
      <w:pPr>
        <w:rPr>
          <w:rFonts w:ascii="Times New Roman" w:hAnsi="Times New Roman" w:eastAsia="宋体" w:cs="Times New Roman"/>
          <w:b/>
          <w:bCs/>
          <w:sz w:val="28"/>
          <w:szCs w:val="28"/>
        </w:rPr>
      </w:pPr>
    </w:p>
    <w:p w14:paraId="066C9EEE">
      <w:pPr>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2 点击“招标文件”后显示如下：</w:t>
      </w:r>
    </w:p>
    <w:p w14:paraId="6AB225F0">
      <w:pPr>
        <w:jc w:val="left"/>
        <w:rPr>
          <w:color w:val="000000"/>
          <w:sz w:val="28"/>
          <w:szCs w:val="28"/>
        </w:rPr>
      </w:pPr>
      <w:r>
        <w:rPr>
          <w:color w:val="000000"/>
          <w:sz w:val="28"/>
          <w:szCs w:val="28"/>
        </w:rPr>
        <w:drawing>
          <wp:inline distT="0" distB="0" distL="114300" distR="114300">
            <wp:extent cx="5991225" cy="2750820"/>
            <wp:effectExtent l="0" t="0" r="13335" b="7620"/>
            <wp:docPr id="5"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1556005943(1)"/>
                    <pic:cNvPicPr>
                      <a:picLocks noChangeAspect="1"/>
                    </pic:cNvPicPr>
                  </pic:nvPicPr>
                  <pic:blipFill>
                    <a:blip r:embed="rId12"/>
                    <a:stretch>
                      <a:fillRect/>
                    </a:stretch>
                  </pic:blipFill>
                  <pic:spPr>
                    <a:xfrm>
                      <a:off x="0" y="0"/>
                      <a:ext cx="5991225" cy="2750820"/>
                    </a:xfrm>
                    <a:prstGeom prst="rect">
                      <a:avLst/>
                    </a:prstGeom>
                    <a:noFill/>
                    <a:ln>
                      <a:noFill/>
                    </a:ln>
                  </pic:spPr>
                </pic:pic>
              </a:graphicData>
            </a:graphic>
          </wp:inline>
        </w:drawing>
      </w:r>
    </w:p>
    <w:p w14:paraId="48EE9635">
      <w:pPr>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3点击上图右侧的红色圈定的“招标文件下载”，进入下面界面</w:t>
      </w:r>
    </w:p>
    <w:p w14:paraId="30C0D7E6">
      <w:pPr>
        <w:jc w:val="left"/>
        <w:rPr>
          <w:color w:val="000000"/>
          <w:sz w:val="28"/>
          <w:szCs w:val="28"/>
        </w:rPr>
      </w:pPr>
      <w:r>
        <w:rPr>
          <w:color w:val="000000"/>
          <w:sz w:val="28"/>
          <w:szCs w:val="28"/>
        </w:rPr>
        <w:drawing>
          <wp:inline distT="0" distB="0" distL="114300" distR="114300">
            <wp:extent cx="5269230" cy="2043430"/>
            <wp:effectExtent l="0" t="0" r="3810" b="13970"/>
            <wp:docPr id="8"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1556006315"/>
                    <pic:cNvPicPr>
                      <a:picLocks noChangeAspect="1"/>
                    </pic:cNvPicPr>
                  </pic:nvPicPr>
                  <pic:blipFill>
                    <a:blip r:embed="rId13"/>
                    <a:stretch>
                      <a:fillRect/>
                    </a:stretch>
                  </pic:blipFill>
                  <pic:spPr>
                    <a:xfrm>
                      <a:off x="0" y="0"/>
                      <a:ext cx="5269230" cy="2043430"/>
                    </a:xfrm>
                    <a:prstGeom prst="rect">
                      <a:avLst/>
                    </a:prstGeom>
                    <a:noFill/>
                    <a:ln>
                      <a:noFill/>
                    </a:ln>
                  </pic:spPr>
                </pic:pic>
              </a:graphicData>
            </a:graphic>
          </wp:inline>
        </w:drawing>
      </w:r>
    </w:p>
    <w:p w14:paraId="0A390705">
      <w:pPr>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4 点击上图中的“下载”，下载采购文件，并仔细阅读，报价单需盖章扫描。</w:t>
      </w:r>
    </w:p>
    <w:p w14:paraId="16DA9E5C">
      <w:pPr>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5点击下图中的“网上投标”，显示如下：</w:t>
      </w:r>
    </w:p>
    <w:p w14:paraId="4120D005">
      <w:pPr>
        <w:jc w:val="left"/>
        <w:rPr>
          <w:b/>
          <w:bCs/>
          <w:sz w:val="28"/>
          <w:szCs w:val="28"/>
        </w:rPr>
      </w:pPr>
      <w:r>
        <w:rPr>
          <w:b/>
          <w:bCs/>
          <w:sz w:val="28"/>
          <w:szCs w:val="28"/>
        </w:rPr>
        <w:drawing>
          <wp:inline distT="0" distB="0" distL="114300" distR="114300">
            <wp:extent cx="6356350" cy="3519805"/>
            <wp:effectExtent l="0" t="0" r="13970" b="635"/>
            <wp:docPr id="7"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1582681945(1)"/>
                    <pic:cNvPicPr>
                      <a:picLocks noChangeAspect="1"/>
                    </pic:cNvPicPr>
                  </pic:nvPicPr>
                  <pic:blipFill>
                    <a:blip r:embed="rId14"/>
                    <a:stretch>
                      <a:fillRect/>
                    </a:stretch>
                  </pic:blipFill>
                  <pic:spPr>
                    <a:xfrm>
                      <a:off x="0" y="0"/>
                      <a:ext cx="6356350" cy="3519805"/>
                    </a:xfrm>
                    <a:prstGeom prst="rect">
                      <a:avLst/>
                    </a:prstGeom>
                    <a:noFill/>
                    <a:ln>
                      <a:noFill/>
                    </a:ln>
                  </pic:spPr>
                </pic:pic>
              </a:graphicData>
            </a:graphic>
          </wp:inline>
        </w:drawing>
      </w:r>
    </w:p>
    <w:p w14:paraId="0DE9FE97">
      <w:pPr>
        <w:jc w:val="left"/>
        <w:rPr>
          <w:rFonts w:ascii="Times New Roman" w:hAnsi="Times New Roman" w:eastAsia="宋体" w:cs="Times New Roman"/>
          <w:b/>
          <w:bCs/>
          <w:sz w:val="28"/>
          <w:szCs w:val="28"/>
        </w:rPr>
      </w:pPr>
    </w:p>
    <w:p w14:paraId="1672522B">
      <w:pPr>
        <w:jc w:val="left"/>
        <w:rPr>
          <w:rFonts w:ascii="Times New Roman" w:hAnsi="Times New Roman" w:eastAsia="宋体" w:cs="Times New Roman"/>
          <w:b/>
          <w:bCs/>
          <w:sz w:val="28"/>
          <w:szCs w:val="28"/>
        </w:rPr>
      </w:pPr>
    </w:p>
    <w:p w14:paraId="17C2AB92">
      <w:pPr>
        <w:jc w:val="left"/>
        <w:rPr>
          <w:rFonts w:ascii="Times New Roman" w:hAnsi="Times New Roman" w:eastAsia="宋体" w:cs="Times New Roman"/>
          <w:b/>
          <w:bCs/>
          <w:sz w:val="28"/>
          <w:szCs w:val="28"/>
        </w:rPr>
      </w:pPr>
    </w:p>
    <w:p w14:paraId="34AE97D4">
      <w:pPr>
        <w:jc w:val="left"/>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6点击“投标制作”后，显示如下：</w:t>
      </w:r>
    </w:p>
    <w:p w14:paraId="1F2EC25A">
      <w:pPr>
        <w:jc w:val="left"/>
        <w:rPr>
          <w:b/>
          <w:bCs/>
          <w:sz w:val="28"/>
          <w:szCs w:val="28"/>
        </w:rPr>
      </w:pPr>
      <w:r>
        <w:rPr>
          <w:color w:val="000000"/>
          <w:sz w:val="28"/>
          <w:szCs w:val="28"/>
        </w:rPr>
        <w:drawing>
          <wp:inline distT="0" distB="0" distL="114300" distR="114300">
            <wp:extent cx="6393815" cy="1742440"/>
            <wp:effectExtent l="0" t="0" r="6985" b="10160"/>
            <wp:docPr id="2"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1556006507(1)"/>
                    <pic:cNvPicPr>
                      <a:picLocks noChangeAspect="1"/>
                    </pic:cNvPicPr>
                  </pic:nvPicPr>
                  <pic:blipFill>
                    <a:blip r:embed="rId15"/>
                    <a:stretch>
                      <a:fillRect/>
                    </a:stretch>
                  </pic:blipFill>
                  <pic:spPr>
                    <a:xfrm>
                      <a:off x="0" y="0"/>
                      <a:ext cx="6393815" cy="1742440"/>
                    </a:xfrm>
                    <a:prstGeom prst="rect">
                      <a:avLst/>
                    </a:prstGeom>
                    <a:noFill/>
                    <a:ln>
                      <a:noFill/>
                    </a:ln>
                  </pic:spPr>
                </pic:pic>
              </a:graphicData>
            </a:graphic>
          </wp:inline>
        </w:drawing>
      </w:r>
    </w:p>
    <w:p w14:paraId="5593E0C2">
      <w:pPr>
        <w:rPr>
          <w:b/>
          <w:bCs/>
          <w:sz w:val="28"/>
          <w:szCs w:val="28"/>
        </w:rPr>
        <w:sectPr>
          <w:headerReference r:id="rId6" w:type="default"/>
          <w:footerReference r:id="rId7" w:type="default"/>
          <w:pgSz w:w="11907" w:h="16840"/>
          <w:pgMar w:top="1247" w:right="1418" w:bottom="1247" w:left="1418" w:header="907" w:footer="907" w:gutter="0"/>
          <w:cols w:space="720" w:num="1"/>
          <w:docGrid w:linePitch="312" w:charSpace="0"/>
        </w:sectPr>
      </w:pPr>
    </w:p>
    <w:p w14:paraId="596233DB">
      <w:pPr>
        <w:rPr>
          <w:b/>
          <w:bCs/>
          <w:sz w:val="28"/>
          <w:szCs w:val="28"/>
        </w:rPr>
      </w:pPr>
    </w:p>
    <w:p w14:paraId="6E1536C8">
      <w:pPr>
        <w:jc w:val="left"/>
        <w:rPr>
          <w:b/>
          <w:bCs/>
          <w:sz w:val="28"/>
          <w:szCs w:val="28"/>
        </w:rPr>
      </w:pPr>
      <w:r>
        <w:rPr>
          <w:rFonts w:hint="eastAsia"/>
          <w:b/>
          <w:bCs/>
          <w:sz w:val="28"/>
          <w:szCs w:val="28"/>
        </w:rPr>
        <w:t>7 在上图中点击右侧的“投标文件制作”，进入以下界面，并按下图中的步骤依次进行操作：</w:t>
      </w:r>
      <w:r>
        <w:rPr>
          <w:b/>
          <w:bCs/>
          <w:sz w:val="28"/>
          <w:szCs w:val="28"/>
        </w:rPr>
        <w:drawing>
          <wp:inline distT="0" distB="0" distL="114300" distR="114300">
            <wp:extent cx="9011920" cy="5265420"/>
            <wp:effectExtent l="0" t="0" r="10160" b="7620"/>
            <wp:docPr id="4"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1582682834(1)"/>
                    <pic:cNvPicPr>
                      <a:picLocks noChangeAspect="1"/>
                    </pic:cNvPicPr>
                  </pic:nvPicPr>
                  <pic:blipFill>
                    <a:blip r:embed="rId16"/>
                    <a:stretch>
                      <a:fillRect/>
                    </a:stretch>
                  </pic:blipFill>
                  <pic:spPr>
                    <a:xfrm>
                      <a:off x="0" y="0"/>
                      <a:ext cx="9011920" cy="5265420"/>
                    </a:xfrm>
                    <a:prstGeom prst="rect">
                      <a:avLst/>
                    </a:prstGeom>
                    <a:noFill/>
                    <a:ln>
                      <a:noFill/>
                    </a:ln>
                  </pic:spPr>
                </pic:pic>
              </a:graphicData>
            </a:graphic>
          </wp:inline>
        </w:drawing>
      </w:r>
    </w:p>
    <w:p w14:paraId="2D9B89C8">
      <w:pPr>
        <w:jc w:val="left"/>
        <w:rPr>
          <w:b/>
          <w:bCs/>
          <w:sz w:val="28"/>
          <w:szCs w:val="28"/>
        </w:rPr>
      </w:pPr>
      <w:r>
        <w:rPr>
          <w:rFonts w:hint="eastAsia"/>
          <w:b/>
          <w:bCs/>
          <w:sz w:val="28"/>
          <w:szCs w:val="28"/>
        </w:rPr>
        <w:t>注：第3步只填写“单价”和“数量”两栏；</w:t>
      </w:r>
    </w:p>
    <w:p w14:paraId="250DE3B5">
      <w:pPr>
        <w:jc w:val="left"/>
        <w:rPr>
          <w:b/>
          <w:bCs/>
          <w:sz w:val="28"/>
          <w:szCs w:val="28"/>
        </w:rPr>
      </w:pPr>
      <w:r>
        <w:rPr>
          <w:rFonts w:hint="eastAsia"/>
          <w:b/>
          <w:bCs/>
          <w:sz w:val="28"/>
          <w:szCs w:val="28"/>
        </w:rPr>
        <w:t>8以上操作完成后，询比价报价流程完成。完成后可点击“投标查询”，查看投标状态</w:t>
      </w:r>
    </w:p>
    <w:p w14:paraId="3A72D4EA">
      <w:pPr>
        <w:jc w:val="left"/>
        <w:rPr>
          <w:b/>
          <w:bCs/>
          <w:sz w:val="28"/>
          <w:szCs w:val="28"/>
        </w:rPr>
      </w:pPr>
      <w:r>
        <w:rPr>
          <w:b/>
          <w:bCs/>
          <w:sz w:val="28"/>
          <w:szCs w:val="28"/>
        </w:rPr>
        <w:drawing>
          <wp:inline distT="0" distB="0" distL="114300" distR="114300">
            <wp:extent cx="8644890" cy="1983105"/>
            <wp:effectExtent l="0" t="0" r="11430" b="13335"/>
            <wp:docPr id="3"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1582684629(1)"/>
                    <pic:cNvPicPr>
                      <a:picLocks noChangeAspect="1"/>
                    </pic:cNvPicPr>
                  </pic:nvPicPr>
                  <pic:blipFill>
                    <a:blip r:embed="rId17"/>
                    <a:stretch>
                      <a:fillRect/>
                    </a:stretch>
                  </pic:blipFill>
                  <pic:spPr>
                    <a:xfrm>
                      <a:off x="0" y="0"/>
                      <a:ext cx="8644890" cy="1983105"/>
                    </a:xfrm>
                    <a:prstGeom prst="rect">
                      <a:avLst/>
                    </a:prstGeom>
                    <a:noFill/>
                    <a:ln>
                      <a:noFill/>
                    </a:ln>
                  </pic:spPr>
                </pic:pic>
              </a:graphicData>
            </a:graphic>
          </wp:inline>
        </w:drawing>
      </w:r>
    </w:p>
    <w:p w14:paraId="735F143D">
      <w:pPr>
        <w:jc w:val="left"/>
        <w:rPr>
          <w:rFonts w:hint="eastAsia"/>
          <w:b/>
          <w:bCs/>
          <w:sz w:val="28"/>
          <w:szCs w:val="28"/>
        </w:rPr>
      </w:pPr>
      <w:r>
        <w:rPr>
          <w:rFonts w:hint="eastAsia"/>
          <w:b/>
          <w:bCs/>
          <w:sz w:val="28"/>
          <w:szCs w:val="28"/>
        </w:rPr>
        <w:t>9若需要重新投标，可点击“撤回投标”，进行重新操作。</w:t>
      </w:r>
    </w:p>
    <w:p w14:paraId="5AA67440">
      <w:pPr>
        <w:rPr>
          <w:rFonts w:hint="eastAsia"/>
          <w:b/>
          <w:bCs/>
          <w:sz w:val="28"/>
          <w:szCs w:val="28"/>
        </w:rPr>
        <w:sectPr>
          <w:pgSz w:w="16840" w:h="11907" w:orient="landscape"/>
          <w:pgMar w:top="1417" w:right="1247" w:bottom="1417" w:left="1247" w:header="907" w:footer="907" w:gutter="0"/>
          <w:cols w:space="720" w:num="1"/>
          <w:rtlGutter w:val="0"/>
          <w:docGrid w:linePitch="312" w:charSpace="0"/>
        </w:sectPr>
      </w:pPr>
    </w:p>
    <w:bookmarkEnd w:id="1"/>
    <w:bookmarkEnd w:id="2"/>
    <w:p w14:paraId="46F2ED11">
      <w:pPr>
        <w:pageBreakBefore w:val="0"/>
        <w:numPr>
          <w:ilvl w:val="0"/>
          <w:numId w:val="0"/>
        </w:numPr>
        <w:kinsoku/>
        <w:wordWrap/>
        <w:overflowPunct/>
        <w:topLinePunct w:val="0"/>
        <w:autoSpaceDE/>
        <w:autoSpaceDN/>
        <w:bidi w:val="0"/>
        <w:snapToGrid w:val="0"/>
        <w:spacing w:line="560" w:lineRule="exact"/>
        <w:ind w:firstLine="1120" w:firstLineChars="400"/>
        <w:jc w:val="left"/>
        <w:rPr>
          <w:rFonts w:hint="default" w:ascii="宋体" w:hAnsi="宋体" w:eastAsia="宋体" w:cs="宋体"/>
          <w:color w:val="000000"/>
          <w:sz w:val="28"/>
          <w:szCs w:val="28"/>
          <w:highlight w:val="none"/>
          <w:lang w:val="en-US" w:eastAsia="zh-CN"/>
        </w:rPr>
      </w:pPr>
      <w:bookmarkStart w:id="5" w:name="_Hlt9415191"/>
      <w:bookmarkEnd w:id="5"/>
      <w:bookmarkStart w:id="6" w:name="_Hlt536512977"/>
      <w:bookmarkEnd w:id="6"/>
      <w:bookmarkStart w:id="7" w:name="_Hlt9415013"/>
      <w:bookmarkEnd w:id="7"/>
    </w:p>
    <w:sectPr>
      <w:headerReference r:id="rId8" w:type="default"/>
      <w:footerReference r:id="rId9" w:type="default"/>
      <w:pgSz w:w="11907" w:h="16840"/>
      <w:pgMar w:top="1247" w:right="850" w:bottom="1247" w:left="850" w:header="907" w:footer="907"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Verdana">
    <w:panose1 w:val="020B0604030504040204"/>
    <w:charset w:val="00"/>
    <w:family w:val="swiss"/>
    <w:pitch w:val="default"/>
    <w:sig w:usb0="A10006FF" w:usb1="4000205B" w:usb2="00000010"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EE13A">
    <w:pPr>
      <w:pStyle w:val="21"/>
      <w:framePr w:wrap="around" w:vAnchor="text" w:hAnchor="margin" w:xAlign="center" w:y="1"/>
      <w:jc w:val="center"/>
      <w:rPr>
        <w:rStyle w:val="39"/>
        <w:rFonts w:hint="eastAsia"/>
      </w:rPr>
    </w:pPr>
  </w:p>
  <w:p w14:paraId="30C39992">
    <w:pPr>
      <w:pStyle w:val="21"/>
      <w:framePr w:wrap="around" w:vAnchor="text" w:hAnchor="margin" w:xAlign="center" w:y="1"/>
      <w:rPr>
        <w:rStyle w:val="39"/>
      </w:rPr>
    </w:pPr>
  </w:p>
  <w:p w14:paraId="5398C9DD">
    <w:pPr>
      <w:pStyle w:val="21"/>
      <w:framePr w:wrap="around" w:vAnchor="text" w:hAnchor="margin" w:xAlign="center" w:y="1"/>
      <w:rPr>
        <w:rStyle w:val="39"/>
      </w:rPr>
    </w:pPr>
  </w:p>
  <w:p w14:paraId="5615D862">
    <w:pPr>
      <w:pStyle w:val="2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806132">
    <w:pPr>
      <w:pStyle w:val="21"/>
      <w:framePr w:wrap="around" w:vAnchor="text" w:hAnchor="margin" w:xAlign="center" w:y="1"/>
      <w:rPr>
        <w:rStyle w:val="39"/>
      </w:rPr>
    </w:pPr>
    <w:r>
      <w:fldChar w:fldCharType="begin"/>
    </w:r>
    <w:r>
      <w:rPr>
        <w:rStyle w:val="39"/>
      </w:rPr>
      <w:instrText xml:space="preserve">PAGE  </w:instrText>
    </w:r>
    <w:r>
      <w:fldChar w:fldCharType="end"/>
    </w:r>
  </w:p>
  <w:p w14:paraId="3C7F619C">
    <w:pPr>
      <w:pStyle w:val="2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61E1B">
    <w:pPr>
      <w:pStyle w:val="21"/>
      <w:framePr w:wrap="around" w:vAnchor="text" w:hAnchor="margin" w:xAlign="center" w:y="1"/>
      <w:rPr>
        <w:rStyle w:val="39"/>
      </w:rPr>
    </w:pPr>
    <w:r>
      <w:fldChar w:fldCharType="begin"/>
    </w:r>
    <w:r>
      <w:rPr>
        <w:rStyle w:val="39"/>
      </w:rPr>
      <w:instrText xml:space="preserve">PAGE  </w:instrText>
    </w:r>
    <w:r>
      <w:fldChar w:fldCharType="separate"/>
    </w:r>
    <w:r>
      <w:rPr>
        <w:rStyle w:val="39"/>
      </w:rPr>
      <w:t>13</w:t>
    </w:r>
    <w:r>
      <w:fldChar w:fldCharType="end"/>
    </w:r>
  </w:p>
  <w:p w14:paraId="72863895">
    <w:pPr>
      <w:pStyle w:val="21"/>
      <w:pBdr>
        <w:top w:val="single" w:color="auto" w:sz="4" w:space="1"/>
      </w:pBdr>
      <w:tabs>
        <w:tab w:val="right" w:pos="8897"/>
        <w:tab w:val="clear" w:pos="8306"/>
      </w:tabs>
      <w:ind w:left="-106" w:leftChars="-51" w:hanging="1"/>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C67DE">
    <w:pPr>
      <w:pStyle w:val="21"/>
      <w:framePr w:wrap="around" w:vAnchor="text" w:hAnchor="margin" w:xAlign="center" w:y="1"/>
      <w:rPr>
        <w:rStyle w:val="39"/>
      </w:rPr>
    </w:pPr>
    <w:r>
      <w:fldChar w:fldCharType="begin"/>
    </w:r>
    <w:r>
      <w:rPr>
        <w:rStyle w:val="39"/>
      </w:rPr>
      <w:instrText xml:space="preserve">PAGE  </w:instrText>
    </w:r>
    <w:r>
      <w:fldChar w:fldCharType="separate"/>
    </w:r>
    <w:r>
      <w:rPr>
        <w:rStyle w:val="39"/>
      </w:rPr>
      <w:t>4</w:t>
    </w:r>
    <w:r>
      <w:fldChar w:fldCharType="end"/>
    </w:r>
  </w:p>
  <w:p w14:paraId="760049DD">
    <w:pPr>
      <w:pStyle w:val="21"/>
      <w:pBdr>
        <w:top w:val="single" w:color="auto" w:sz="4" w:space="1"/>
      </w:pBdr>
      <w:tabs>
        <w:tab w:val="right" w:pos="8897"/>
        <w:tab w:val="clear" w:pos="8306"/>
      </w:tabs>
      <w:ind w:left="-106" w:leftChars="-51" w:hanging="1"/>
      <w:jc w:val="center"/>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110BF">
    <w:pPr>
      <w:pStyle w:val="22"/>
      <w:jc w:val="both"/>
      <w:rPr>
        <w:rFonts w:hint="eastAsia" w:eastAsia="楷体_GB2312"/>
        <w:lang w:eastAsia="zh-CN"/>
      </w:rPr>
    </w:pPr>
    <w:r>
      <w:rPr>
        <w:rFonts w:ascii="宋体" w:hAnsi="宋体"/>
        <w:b/>
        <w:sz w:val="36"/>
        <w:szCs w:val="36"/>
      </w:rPr>
      <w:drawing>
        <wp:inline distT="0" distB="0" distL="114300" distR="114300">
          <wp:extent cx="333375" cy="351155"/>
          <wp:effectExtent l="0" t="0" r="9525"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333375" cy="351155"/>
                  </a:xfrm>
                  <a:prstGeom prst="rect">
                    <a:avLst/>
                  </a:prstGeom>
                  <a:noFill/>
                  <a:ln>
                    <a:noFill/>
                  </a:ln>
                </pic:spPr>
              </pic:pic>
            </a:graphicData>
          </a:graphic>
        </wp:inline>
      </w:drawing>
    </w:r>
    <w:r>
      <w:rPr>
        <w:rFonts w:hint="eastAsia" w:ascii="楷体_GB2312" w:hAnsi="宋体" w:eastAsia="楷体_GB2312"/>
        <w:b/>
        <w:bCs/>
        <w:i/>
        <w:iCs/>
        <w:sz w:val="24"/>
        <w:lang w:eastAsia="zh-CN"/>
      </w:rPr>
      <w:t>山东金岭矿业股份有限公司</w:t>
    </w:r>
    <w:r>
      <w:rPr>
        <w:rFonts w:hint="eastAsia" w:ascii="楷体_GB2312" w:hAnsi="宋体" w:eastAsia="楷体_GB2312"/>
        <w:b/>
        <w:bCs/>
        <w:i/>
        <w:iCs/>
        <w:sz w:val="24"/>
      </w:rPr>
      <w:t xml:space="preserve"> 询竞价采购项目                     采购</w:t>
    </w:r>
    <w:r>
      <w:rPr>
        <w:rFonts w:hint="eastAsia" w:ascii="楷体_GB2312" w:hAnsi="宋体" w:eastAsia="楷体_GB2312"/>
        <w:b/>
        <w:bCs/>
        <w:i/>
        <w:iCs/>
        <w:sz w:val="24"/>
        <w:lang w:eastAsia="zh-CN"/>
      </w:rPr>
      <w:t>公告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73573">
    <w:pPr>
      <w:pStyle w:val="22"/>
      <w:pBdr>
        <w:bottom w:val="single" w:color="auto" w:sz="6" w:space="0"/>
      </w:pBdr>
      <w:rPr>
        <w:rFonts w:hint="eastAsia" w:eastAsia="宋体"/>
        <w:iCs/>
        <w:lang w:eastAsia="zh-CN"/>
      </w:rPr>
    </w:pPr>
    <w:r>
      <w:rPr>
        <w:rFonts w:hint="eastAsia"/>
        <w:iCs/>
      </w:rPr>
      <w:t>询竞价采购项目                                                                            采购</w:t>
    </w:r>
    <w:r>
      <w:rPr>
        <w:rFonts w:hint="eastAsia"/>
        <w:iCs/>
        <w:lang w:eastAsia="zh-CN"/>
      </w:rPr>
      <w:t>公告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7961F2">
    <w:pPr>
      <w:pStyle w:val="22"/>
      <w:pBdr>
        <w:bottom w:val="single" w:color="auto" w:sz="6" w:space="0"/>
      </w:pBdr>
      <w:rPr>
        <w:rFonts w:hint="eastAsia" w:eastAsia="宋体"/>
        <w:iCs/>
        <w:lang w:eastAsia="zh-CN"/>
      </w:rPr>
    </w:pPr>
    <w:r>
      <w:rPr>
        <w:rFonts w:hint="eastAsia"/>
        <w:iCs/>
      </w:rPr>
      <w:t>询竞价采购项目                                                                            采购</w:t>
    </w:r>
    <w:r>
      <w:rPr>
        <w:rFonts w:hint="eastAsia"/>
        <w:iCs/>
        <w:lang w:eastAsia="zh-CN"/>
      </w:rPr>
      <w:t>公告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1ZTdmYWE5YTNkYWM2OWE4NTFkODZmYTlkZDQyNWIifQ=="/>
  </w:docVars>
  <w:rsids>
    <w:rsidRoot w:val="00F90665"/>
    <w:rsid w:val="00002C5B"/>
    <w:rsid w:val="00004D37"/>
    <w:rsid w:val="00005258"/>
    <w:rsid w:val="00021883"/>
    <w:rsid w:val="00030269"/>
    <w:rsid w:val="000319DC"/>
    <w:rsid w:val="000357A0"/>
    <w:rsid w:val="000362CF"/>
    <w:rsid w:val="00037924"/>
    <w:rsid w:val="0004342A"/>
    <w:rsid w:val="0004530E"/>
    <w:rsid w:val="00046EB0"/>
    <w:rsid w:val="00047147"/>
    <w:rsid w:val="00051516"/>
    <w:rsid w:val="000538A7"/>
    <w:rsid w:val="00054291"/>
    <w:rsid w:val="000604D9"/>
    <w:rsid w:val="000606BC"/>
    <w:rsid w:val="00060D42"/>
    <w:rsid w:val="00063E7D"/>
    <w:rsid w:val="0006574C"/>
    <w:rsid w:val="00070C3F"/>
    <w:rsid w:val="00083F83"/>
    <w:rsid w:val="00084D06"/>
    <w:rsid w:val="00085042"/>
    <w:rsid w:val="00095845"/>
    <w:rsid w:val="000A20D1"/>
    <w:rsid w:val="000A42D7"/>
    <w:rsid w:val="000A5AA3"/>
    <w:rsid w:val="000B17CF"/>
    <w:rsid w:val="000B36DA"/>
    <w:rsid w:val="000B4187"/>
    <w:rsid w:val="000B4838"/>
    <w:rsid w:val="000B4940"/>
    <w:rsid w:val="000B6410"/>
    <w:rsid w:val="000B6482"/>
    <w:rsid w:val="000C0686"/>
    <w:rsid w:val="000C3CCF"/>
    <w:rsid w:val="000C5C58"/>
    <w:rsid w:val="000D2248"/>
    <w:rsid w:val="000D6406"/>
    <w:rsid w:val="000F0448"/>
    <w:rsid w:val="000F5322"/>
    <w:rsid w:val="000F58A0"/>
    <w:rsid w:val="001033F9"/>
    <w:rsid w:val="00104D9C"/>
    <w:rsid w:val="00106B74"/>
    <w:rsid w:val="00107227"/>
    <w:rsid w:val="001108D5"/>
    <w:rsid w:val="00113834"/>
    <w:rsid w:val="00114C3D"/>
    <w:rsid w:val="00117D46"/>
    <w:rsid w:val="00125F2B"/>
    <w:rsid w:val="00133571"/>
    <w:rsid w:val="001349C3"/>
    <w:rsid w:val="00136DA4"/>
    <w:rsid w:val="001416CA"/>
    <w:rsid w:val="0014376A"/>
    <w:rsid w:val="001508E1"/>
    <w:rsid w:val="001549FF"/>
    <w:rsid w:val="00165B1A"/>
    <w:rsid w:val="00166D39"/>
    <w:rsid w:val="001729C7"/>
    <w:rsid w:val="00186505"/>
    <w:rsid w:val="00186ACA"/>
    <w:rsid w:val="001873FA"/>
    <w:rsid w:val="001906CA"/>
    <w:rsid w:val="001A2CC7"/>
    <w:rsid w:val="001A3008"/>
    <w:rsid w:val="001A47F9"/>
    <w:rsid w:val="001A5665"/>
    <w:rsid w:val="001A5C05"/>
    <w:rsid w:val="001B0A4A"/>
    <w:rsid w:val="001B14FA"/>
    <w:rsid w:val="001B17C0"/>
    <w:rsid w:val="001B1FA2"/>
    <w:rsid w:val="001B55D9"/>
    <w:rsid w:val="001B6C8C"/>
    <w:rsid w:val="001B7B83"/>
    <w:rsid w:val="001C0ADA"/>
    <w:rsid w:val="001C56FD"/>
    <w:rsid w:val="001D2A57"/>
    <w:rsid w:val="001D649A"/>
    <w:rsid w:val="001D6A5D"/>
    <w:rsid w:val="001E693E"/>
    <w:rsid w:val="001F440B"/>
    <w:rsid w:val="001F4AEF"/>
    <w:rsid w:val="00201317"/>
    <w:rsid w:val="00205DE7"/>
    <w:rsid w:val="00211B31"/>
    <w:rsid w:val="00211CE0"/>
    <w:rsid w:val="00213FC0"/>
    <w:rsid w:val="00216F9F"/>
    <w:rsid w:val="002249B8"/>
    <w:rsid w:val="00224EAC"/>
    <w:rsid w:val="00233415"/>
    <w:rsid w:val="002339FE"/>
    <w:rsid w:val="0023439C"/>
    <w:rsid w:val="00237171"/>
    <w:rsid w:val="002407FA"/>
    <w:rsid w:val="00243304"/>
    <w:rsid w:val="002513E9"/>
    <w:rsid w:val="00264D84"/>
    <w:rsid w:val="00265496"/>
    <w:rsid w:val="002707FB"/>
    <w:rsid w:val="002741B3"/>
    <w:rsid w:val="00275A00"/>
    <w:rsid w:val="002817EE"/>
    <w:rsid w:val="00281D2F"/>
    <w:rsid w:val="00283DB9"/>
    <w:rsid w:val="00287A6C"/>
    <w:rsid w:val="00287EC0"/>
    <w:rsid w:val="002905D1"/>
    <w:rsid w:val="00294963"/>
    <w:rsid w:val="002979DA"/>
    <w:rsid w:val="002A4B4F"/>
    <w:rsid w:val="002B30CD"/>
    <w:rsid w:val="002B328E"/>
    <w:rsid w:val="002B7F1E"/>
    <w:rsid w:val="002C3208"/>
    <w:rsid w:val="002C49FD"/>
    <w:rsid w:val="002C55F2"/>
    <w:rsid w:val="002D2FB4"/>
    <w:rsid w:val="002D31AC"/>
    <w:rsid w:val="002D45F9"/>
    <w:rsid w:val="002E0269"/>
    <w:rsid w:val="002E2FA9"/>
    <w:rsid w:val="002E75D3"/>
    <w:rsid w:val="002F1528"/>
    <w:rsid w:val="0031533E"/>
    <w:rsid w:val="0031539D"/>
    <w:rsid w:val="00322926"/>
    <w:rsid w:val="00325B9B"/>
    <w:rsid w:val="00333D9B"/>
    <w:rsid w:val="00334792"/>
    <w:rsid w:val="00345808"/>
    <w:rsid w:val="00346C06"/>
    <w:rsid w:val="00350591"/>
    <w:rsid w:val="0035761B"/>
    <w:rsid w:val="003601C0"/>
    <w:rsid w:val="0036032B"/>
    <w:rsid w:val="00363DF6"/>
    <w:rsid w:val="00370565"/>
    <w:rsid w:val="003801D3"/>
    <w:rsid w:val="0038182C"/>
    <w:rsid w:val="00382105"/>
    <w:rsid w:val="003849BC"/>
    <w:rsid w:val="00385267"/>
    <w:rsid w:val="00390A32"/>
    <w:rsid w:val="003943A8"/>
    <w:rsid w:val="00394550"/>
    <w:rsid w:val="0039613C"/>
    <w:rsid w:val="00396CED"/>
    <w:rsid w:val="003A0786"/>
    <w:rsid w:val="003A100D"/>
    <w:rsid w:val="003B0BDE"/>
    <w:rsid w:val="003B72A8"/>
    <w:rsid w:val="003C344E"/>
    <w:rsid w:val="003C45B0"/>
    <w:rsid w:val="003E154B"/>
    <w:rsid w:val="003E7FD7"/>
    <w:rsid w:val="003F2186"/>
    <w:rsid w:val="003F2906"/>
    <w:rsid w:val="003F4314"/>
    <w:rsid w:val="00401E63"/>
    <w:rsid w:val="004105F1"/>
    <w:rsid w:val="00413F8E"/>
    <w:rsid w:val="004232E4"/>
    <w:rsid w:val="00425B49"/>
    <w:rsid w:val="004302CE"/>
    <w:rsid w:val="004333F8"/>
    <w:rsid w:val="0043387A"/>
    <w:rsid w:val="00437E7B"/>
    <w:rsid w:val="00441424"/>
    <w:rsid w:val="00441B46"/>
    <w:rsid w:val="00443807"/>
    <w:rsid w:val="004518D7"/>
    <w:rsid w:val="00452877"/>
    <w:rsid w:val="00455C34"/>
    <w:rsid w:val="0047017D"/>
    <w:rsid w:val="0047271F"/>
    <w:rsid w:val="0047451A"/>
    <w:rsid w:val="00476E54"/>
    <w:rsid w:val="00483613"/>
    <w:rsid w:val="00484119"/>
    <w:rsid w:val="00485145"/>
    <w:rsid w:val="00485194"/>
    <w:rsid w:val="00487267"/>
    <w:rsid w:val="00490EF5"/>
    <w:rsid w:val="00494320"/>
    <w:rsid w:val="004A62E2"/>
    <w:rsid w:val="004A6A5F"/>
    <w:rsid w:val="004A6DB6"/>
    <w:rsid w:val="004B55CE"/>
    <w:rsid w:val="004C4ADC"/>
    <w:rsid w:val="004C5E4B"/>
    <w:rsid w:val="004D0E24"/>
    <w:rsid w:val="004D217A"/>
    <w:rsid w:val="004D521A"/>
    <w:rsid w:val="004D5B64"/>
    <w:rsid w:val="004D64E1"/>
    <w:rsid w:val="004E3732"/>
    <w:rsid w:val="004E39BE"/>
    <w:rsid w:val="004F0FB8"/>
    <w:rsid w:val="004F1047"/>
    <w:rsid w:val="004F2E72"/>
    <w:rsid w:val="004F4261"/>
    <w:rsid w:val="004F7F35"/>
    <w:rsid w:val="0050163D"/>
    <w:rsid w:val="00503A2B"/>
    <w:rsid w:val="005071DE"/>
    <w:rsid w:val="0052489E"/>
    <w:rsid w:val="00534C5E"/>
    <w:rsid w:val="005351B6"/>
    <w:rsid w:val="00545CFF"/>
    <w:rsid w:val="00545F2D"/>
    <w:rsid w:val="0054678A"/>
    <w:rsid w:val="00550A42"/>
    <w:rsid w:val="00550EA6"/>
    <w:rsid w:val="0055339E"/>
    <w:rsid w:val="005541D2"/>
    <w:rsid w:val="0055440F"/>
    <w:rsid w:val="00557090"/>
    <w:rsid w:val="00562D8D"/>
    <w:rsid w:val="0056336B"/>
    <w:rsid w:val="0056353D"/>
    <w:rsid w:val="00567D2B"/>
    <w:rsid w:val="0057000F"/>
    <w:rsid w:val="00571568"/>
    <w:rsid w:val="00571F5B"/>
    <w:rsid w:val="00574FFA"/>
    <w:rsid w:val="00576F79"/>
    <w:rsid w:val="00580BB6"/>
    <w:rsid w:val="0058222A"/>
    <w:rsid w:val="005823DC"/>
    <w:rsid w:val="005872A9"/>
    <w:rsid w:val="00587F04"/>
    <w:rsid w:val="0059057F"/>
    <w:rsid w:val="0059173A"/>
    <w:rsid w:val="00591A4D"/>
    <w:rsid w:val="005968A7"/>
    <w:rsid w:val="005A35E4"/>
    <w:rsid w:val="005A3D82"/>
    <w:rsid w:val="005A5D18"/>
    <w:rsid w:val="005A6FC6"/>
    <w:rsid w:val="005A7F68"/>
    <w:rsid w:val="005B6E03"/>
    <w:rsid w:val="005B6FCC"/>
    <w:rsid w:val="005B7E7F"/>
    <w:rsid w:val="005C015A"/>
    <w:rsid w:val="005C1C3C"/>
    <w:rsid w:val="005C3143"/>
    <w:rsid w:val="005D1218"/>
    <w:rsid w:val="005D3986"/>
    <w:rsid w:val="005D5A9F"/>
    <w:rsid w:val="005E0329"/>
    <w:rsid w:val="005E04EA"/>
    <w:rsid w:val="005E1A8E"/>
    <w:rsid w:val="005E4D57"/>
    <w:rsid w:val="005F14BA"/>
    <w:rsid w:val="005F6989"/>
    <w:rsid w:val="00604C07"/>
    <w:rsid w:val="00620528"/>
    <w:rsid w:val="006224C4"/>
    <w:rsid w:val="006402F9"/>
    <w:rsid w:val="006460CC"/>
    <w:rsid w:val="00646C31"/>
    <w:rsid w:val="00653404"/>
    <w:rsid w:val="006561F1"/>
    <w:rsid w:val="00657522"/>
    <w:rsid w:val="00672858"/>
    <w:rsid w:val="00673034"/>
    <w:rsid w:val="006739A0"/>
    <w:rsid w:val="00680773"/>
    <w:rsid w:val="00682A36"/>
    <w:rsid w:val="00683094"/>
    <w:rsid w:val="00694FD1"/>
    <w:rsid w:val="006A1C81"/>
    <w:rsid w:val="006A7D76"/>
    <w:rsid w:val="006B4AD7"/>
    <w:rsid w:val="006C2A23"/>
    <w:rsid w:val="006D1E2F"/>
    <w:rsid w:val="006D3C6F"/>
    <w:rsid w:val="006F4173"/>
    <w:rsid w:val="006F41AD"/>
    <w:rsid w:val="006F503E"/>
    <w:rsid w:val="006F63A1"/>
    <w:rsid w:val="006F69FA"/>
    <w:rsid w:val="007035A0"/>
    <w:rsid w:val="007049F8"/>
    <w:rsid w:val="00710D90"/>
    <w:rsid w:val="007117FF"/>
    <w:rsid w:val="00712E4D"/>
    <w:rsid w:val="00715A39"/>
    <w:rsid w:val="0072238E"/>
    <w:rsid w:val="00723A2E"/>
    <w:rsid w:val="00723DE2"/>
    <w:rsid w:val="007256DA"/>
    <w:rsid w:val="00725B02"/>
    <w:rsid w:val="00726DF7"/>
    <w:rsid w:val="00735D2C"/>
    <w:rsid w:val="0073624D"/>
    <w:rsid w:val="00736D5D"/>
    <w:rsid w:val="0074451E"/>
    <w:rsid w:val="00750B8E"/>
    <w:rsid w:val="007573BE"/>
    <w:rsid w:val="00757C35"/>
    <w:rsid w:val="00757D41"/>
    <w:rsid w:val="007615FA"/>
    <w:rsid w:val="00762909"/>
    <w:rsid w:val="00774572"/>
    <w:rsid w:val="007777EB"/>
    <w:rsid w:val="00780404"/>
    <w:rsid w:val="0078545B"/>
    <w:rsid w:val="00786A25"/>
    <w:rsid w:val="00793156"/>
    <w:rsid w:val="00793A8E"/>
    <w:rsid w:val="0079572D"/>
    <w:rsid w:val="0079660A"/>
    <w:rsid w:val="007A1349"/>
    <w:rsid w:val="007A2019"/>
    <w:rsid w:val="007A3F8A"/>
    <w:rsid w:val="007A55C4"/>
    <w:rsid w:val="007A7D01"/>
    <w:rsid w:val="007B23A6"/>
    <w:rsid w:val="007B4A4A"/>
    <w:rsid w:val="007C22C4"/>
    <w:rsid w:val="007D50F2"/>
    <w:rsid w:val="007D70EE"/>
    <w:rsid w:val="007E3498"/>
    <w:rsid w:val="007E4B93"/>
    <w:rsid w:val="007E51F0"/>
    <w:rsid w:val="008104DE"/>
    <w:rsid w:val="008137CE"/>
    <w:rsid w:val="00813C2B"/>
    <w:rsid w:val="00814421"/>
    <w:rsid w:val="00814CE6"/>
    <w:rsid w:val="00820A28"/>
    <w:rsid w:val="008226FC"/>
    <w:rsid w:val="00830403"/>
    <w:rsid w:val="008351B8"/>
    <w:rsid w:val="00843CAE"/>
    <w:rsid w:val="00844C31"/>
    <w:rsid w:val="00850772"/>
    <w:rsid w:val="00854B46"/>
    <w:rsid w:val="00871B15"/>
    <w:rsid w:val="00881F18"/>
    <w:rsid w:val="00882791"/>
    <w:rsid w:val="00882F68"/>
    <w:rsid w:val="0088630B"/>
    <w:rsid w:val="00892D82"/>
    <w:rsid w:val="0089306A"/>
    <w:rsid w:val="00894C78"/>
    <w:rsid w:val="008A060F"/>
    <w:rsid w:val="008A48AB"/>
    <w:rsid w:val="008A4C57"/>
    <w:rsid w:val="008B27C7"/>
    <w:rsid w:val="008B4605"/>
    <w:rsid w:val="008B61BA"/>
    <w:rsid w:val="008C479C"/>
    <w:rsid w:val="008C69BB"/>
    <w:rsid w:val="008C6AC4"/>
    <w:rsid w:val="008D04AF"/>
    <w:rsid w:val="008D2FEC"/>
    <w:rsid w:val="008D3489"/>
    <w:rsid w:val="008D3607"/>
    <w:rsid w:val="008D3C62"/>
    <w:rsid w:val="008D51F6"/>
    <w:rsid w:val="008E413D"/>
    <w:rsid w:val="008E5936"/>
    <w:rsid w:val="008E596B"/>
    <w:rsid w:val="008E69F6"/>
    <w:rsid w:val="008F0606"/>
    <w:rsid w:val="008F2C7C"/>
    <w:rsid w:val="008F4C83"/>
    <w:rsid w:val="0090037B"/>
    <w:rsid w:val="00901083"/>
    <w:rsid w:val="009024FD"/>
    <w:rsid w:val="00903702"/>
    <w:rsid w:val="00903BA5"/>
    <w:rsid w:val="009067E9"/>
    <w:rsid w:val="009134D3"/>
    <w:rsid w:val="0091541B"/>
    <w:rsid w:val="009174BA"/>
    <w:rsid w:val="00922548"/>
    <w:rsid w:val="00924556"/>
    <w:rsid w:val="009262E8"/>
    <w:rsid w:val="009273B0"/>
    <w:rsid w:val="00937AFF"/>
    <w:rsid w:val="0094564C"/>
    <w:rsid w:val="00947E23"/>
    <w:rsid w:val="00951C9A"/>
    <w:rsid w:val="00954E89"/>
    <w:rsid w:val="00955E40"/>
    <w:rsid w:val="00961BA4"/>
    <w:rsid w:val="0096647B"/>
    <w:rsid w:val="00967E78"/>
    <w:rsid w:val="00974C38"/>
    <w:rsid w:val="00975AF7"/>
    <w:rsid w:val="00980919"/>
    <w:rsid w:val="00980EBB"/>
    <w:rsid w:val="0099084B"/>
    <w:rsid w:val="00992C47"/>
    <w:rsid w:val="009A0532"/>
    <w:rsid w:val="009A39FA"/>
    <w:rsid w:val="009B00A6"/>
    <w:rsid w:val="009B45F2"/>
    <w:rsid w:val="009B6F1F"/>
    <w:rsid w:val="009C2B28"/>
    <w:rsid w:val="009C39B3"/>
    <w:rsid w:val="009C595B"/>
    <w:rsid w:val="009D26E4"/>
    <w:rsid w:val="009D4A46"/>
    <w:rsid w:val="009D7AEE"/>
    <w:rsid w:val="009E377F"/>
    <w:rsid w:val="009E5FCD"/>
    <w:rsid w:val="009F25F4"/>
    <w:rsid w:val="009F4ECB"/>
    <w:rsid w:val="009F511B"/>
    <w:rsid w:val="009F6834"/>
    <w:rsid w:val="00A00CBE"/>
    <w:rsid w:val="00A01EE5"/>
    <w:rsid w:val="00A03A1A"/>
    <w:rsid w:val="00A1408B"/>
    <w:rsid w:val="00A22BB3"/>
    <w:rsid w:val="00A22C18"/>
    <w:rsid w:val="00A25D38"/>
    <w:rsid w:val="00A30EBD"/>
    <w:rsid w:val="00A37E05"/>
    <w:rsid w:val="00A41F8F"/>
    <w:rsid w:val="00A46129"/>
    <w:rsid w:val="00A46223"/>
    <w:rsid w:val="00A50B1A"/>
    <w:rsid w:val="00A515AA"/>
    <w:rsid w:val="00A62EEF"/>
    <w:rsid w:val="00A67E54"/>
    <w:rsid w:val="00A74DBB"/>
    <w:rsid w:val="00A760DE"/>
    <w:rsid w:val="00A80959"/>
    <w:rsid w:val="00A832A6"/>
    <w:rsid w:val="00A85BCB"/>
    <w:rsid w:val="00A91F3B"/>
    <w:rsid w:val="00A940A3"/>
    <w:rsid w:val="00AA5394"/>
    <w:rsid w:val="00AA5E26"/>
    <w:rsid w:val="00AA78F2"/>
    <w:rsid w:val="00AB3B5A"/>
    <w:rsid w:val="00AB52B6"/>
    <w:rsid w:val="00AB581D"/>
    <w:rsid w:val="00AB6330"/>
    <w:rsid w:val="00AC007E"/>
    <w:rsid w:val="00AD23E1"/>
    <w:rsid w:val="00AD2A9D"/>
    <w:rsid w:val="00AD2EB3"/>
    <w:rsid w:val="00AD55A8"/>
    <w:rsid w:val="00AD6EDA"/>
    <w:rsid w:val="00AE0C23"/>
    <w:rsid w:val="00AE0EAF"/>
    <w:rsid w:val="00AE17DC"/>
    <w:rsid w:val="00AE2B50"/>
    <w:rsid w:val="00AF1369"/>
    <w:rsid w:val="00B015AD"/>
    <w:rsid w:val="00B0162E"/>
    <w:rsid w:val="00B01B0F"/>
    <w:rsid w:val="00B02ABE"/>
    <w:rsid w:val="00B16246"/>
    <w:rsid w:val="00B21DDE"/>
    <w:rsid w:val="00B3035E"/>
    <w:rsid w:val="00B467E3"/>
    <w:rsid w:val="00B56975"/>
    <w:rsid w:val="00B710C5"/>
    <w:rsid w:val="00B75A72"/>
    <w:rsid w:val="00B82922"/>
    <w:rsid w:val="00B84431"/>
    <w:rsid w:val="00B914B6"/>
    <w:rsid w:val="00B92A82"/>
    <w:rsid w:val="00B92AD3"/>
    <w:rsid w:val="00B94A45"/>
    <w:rsid w:val="00BA42CC"/>
    <w:rsid w:val="00BA463B"/>
    <w:rsid w:val="00BA58F4"/>
    <w:rsid w:val="00BA7454"/>
    <w:rsid w:val="00BB0DF2"/>
    <w:rsid w:val="00BB76A3"/>
    <w:rsid w:val="00BC1A51"/>
    <w:rsid w:val="00BC7226"/>
    <w:rsid w:val="00BC7BF4"/>
    <w:rsid w:val="00BD2B8B"/>
    <w:rsid w:val="00BD61FD"/>
    <w:rsid w:val="00BD6BB1"/>
    <w:rsid w:val="00BF16C1"/>
    <w:rsid w:val="00BF3617"/>
    <w:rsid w:val="00BF40C4"/>
    <w:rsid w:val="00C00C1E"/>
    <w:rsid w:val="00C00EB1"/>
    <w:rsid w:val="00C02620"/>
    <w:rsid w:val="00C02F46"/>
    <w:rsid w:val="00C06055"/>
    <w:rsid w:val="00C06978"/>
    <w:rsid w:val="00C1249D"/>
    <w:rsid w:val="00C2628A"/>
    <w:rsid w:val="00C276EF"/>
    <w:rsid w:val="00C30650"/>
    <w:rsid w:val="00C30D42"/>
    <w:rsid w:val="00C37A86"/>
    <w:rsid w:val="00C414EF"/>
    <w:rsid w:val="00C43684"/>
    <w:rsid w:val="00C45F06"/>
    <w:rsid w:val="00C508D5"/>
    <w:rsid w:val="00C57ED8"/>
    <w:rsid w:val="00C61B25"/>
    <w:rsid w:val="00C62312"/>
    <w:rsid w:val="00C64A9A"/>
    <w:rsid w:val="00C670D0"/>
    <w:rsid w:val="00C75B7B"/>
    <w:rsid w:val="00C76E4C"/>
    <w:rsid w:val="00C76E6B"/>
    <w:rsid w:val="00C812BE"/>
    <w:rsid w:val="00C877D8"/>
    <w:rsid w:val="00C87E0A"/>
    <w:rsid w:val="00C9046F"/>
    <w:rsid w:val="00C946F5"/>
    <w:rsid w:val="00CA6A27"/>
    <w:rsid w:val="00CA73FE"/>
    <w:rsid w:val="00CB6532"/>
    <w:rsid w:val="00CC07D5"/>
    <w:rsid w:val="00CC1834"/>
    <w:rsid w:val="00CC5E39"/>
    <w:rsid w:val="00CC766A"/>
    <w:rsid w:val="00CD0108"/>
    <w:rsid w:val="00CD3349"/>
    <w:rsid w:val="00CD3702"/>
    <w:rsid w:val="00CE2A92"/>
    <w:rsid w:val="00CE4090"/>
    <w:rsid w:val="00CE4C39"/>
    <w:rsid w:val="00CE6D57"/>
    <w:rsid w:val="00CF2A46"/>
    <w:rsid w:val="00CF3A9A"/>
    <w:rsid w:val="00CF4E94"/>
    <w:rsid w:val="00CF7170"/>
    <w:rsid w:val="00D000C6"/>
    <w:rsid w:val="00D04178"/>
    <w:rsid w:val="00D04AD9"/>
    <w:rsid w:val="00D16BFC"/>
    <w:rsid w:val="00D23C9D"/>
    <w:rsid w:val="00D24E3A"/>
    <w:rsid w:val="00D32CAA"/>
    <w:rsid w:val="00D333C1"/>
    <w:rsid w:val="00D368CB"/>
    <w:rsid w:val="00D36B26"/>
    <w:rsid w:val="00D50B8F"/>
    <w:rsid w:val="00D620E8"/>
    <w:rsid w:val="00D8297E"/>
    <w:rsid w:val="00D8423F"/>
    <w:rsid w:val="00D84DAE"/>
    <w:rsid w:val="00D87509"/>
    <w:rsid w:val="00D95530"/>
    <w:rsid w:val="00D968FB"/>
    <w:rsid w:val="00DA2869"/>
    <w:rsid w:val="00DB1770"/>
    <w:rsid w:val="00DB2671"/>
    <w:rsid w:val="00DB4B06"/>
    <w:rsid w:val="00DB514C"/>
    <w:rsid w:val="00DB6178"/>
    <w:rsid w:val="00DC14E3"/>
    <w:rsid w:val="00DC16C4"/>
    <w:rsid w:val="00DC179F"/>
    <w:rsid w:val="00DC2846"/>
    <w:rsid w:val="00DC2CF5"/>
    <w:rsid w:val="00DC590B"/>
    <w:rsid w:val="00DD7A87"/>
    <w:rsid w:val="00DE1514"/>
    <w:rsid w:val="00DE2397"/>
    <w:rsid w:val="00DE683E"/>
    <w:rsid w:val="00DE6EB1"/>
    <w:rsid w:val="00DE7329"/>
    <w:rsid w:val="00DF09BC"/>
    <w:rsid w:val="00DF7133"/>
    <w:rsid w:val="00E03042"/>
    <w:rsid w:val="00E0484C"/>
    <w:rsid w:val="00E04928"/>
    <w:rsid w:val="00E0760D"/>
    <w:rsid w:val="00E10B16"/>
    <w:rsid w:val="00E1569F"/>
    <w:rsid w:val="00E313D8"/>
    <w:rsid w:val="00E31F89"/>
    <w:rsid w:val="00E3727E"/>
    <w:rsid w:val="00E4240D"/>
    <w:rsid w:val="00E42CAF"/>
    <w:rsid w:val="00E45225"/>
    <w:rsid w:val="00E45FDA"/>
    <w:rsid w:val="00E511F1"/>
    <w:rsid w:val="00E543FC"/>
    <w:rsid w:val="00E54751"/>
    <w:rsid w:val="00E54A94"/>
    <w:rsid w:val="00E562FA"/>
    <w:rsid w:val="00E6268B"/>
    <w:rsid w:val="00E67286"/>
    <w:rsid w:val="00E706D4"/>
    <w:rsid w:val="00E74613"/>
    <w:rsid w:val="00E7559E"/>
    <w:rsid w:val="00E76D61"/>
    <w:rsid w:val="00E77275"/>
    <w:rsid w:val="00E801BD"/>
    <w:rsid w:val="00E83725"/>
    <w:rsid w:val="00E83A7B"/>
    <w:rsid w:val="00E83D41"/>
    <w:rsid w:val="00E85CD6"/>
    <w:rsid w:val="00E9058A"/>
    <w:rsid w:val="00E91CE1"/>
    <w:rsid w:val="00E96958"/>
    <w:rsid w:val="00EA51BE"/>
    <w:rsid w:val="00EA5F28"/>
    <w:rsid w:val="00EB6CFD"/>
    <w:rsid w:val="00EB72FA"/>
    <w:rsid w:val="00EC65E6"/>
    <w:rsid w:val="00EC7929"/>
    <w:rsid w:val="00ED352F"/>
    <w:rsid w:val="00ED5BF0"/>
    <w:rsid w:val="00EE4B2C"/>
    <w:rsid w:val="00EE55B8"/>
    <w:rsid w:val="00EE6772"/>
    <w:rsid w:val="00EF1850"/>
    <w:rsid w:val="00EF397C"/>
    <w:rsid w:val="00EF3F3B"/>
    <w:rsid w:val="00F13E47"/>
    <w:rsid w:val="00F1647D"/>
    <w:rsid w:val="00F17381"/>
    <w:rsid w:val="00F25D73"/>
    <w:rsid w:val="00F352DD"/>
    <w:rsid w:val="00F4181A"/>
    <w:rsid w:val="00F4464B"/>
    <w:rsid w:val="00F44F5D"/>
    <w:rsid w:val="00F45C41"/>
    <w:rsid w:val="00F57127"/>
    <w:rsid w:val="00F63E0F"/>
    <w:rsid w:val="00F75E61"/>
    <w:rsid w:val="00F76AF9"/>
    <w:rsid w:val="00F80407"/>
    <w:rsid w:val="00F8513E"/>
    <w:rsid w:val="00F865F2"/>
    <w:rsid w:val="00F8697B"/>
    <w:rsid w:val="00F90665"/>
    <w:rsid w:val="00FA35CA"/>
    <w:rsid w:val="00FA35DE"/>
    <w:rsid w:val="00FB0E3A"/>
    <w:rsid w:val="00FB2E50"/>
    <w:rsid w:val="00FD528B"/>
    <w:rsid w:val="00FE3924"/>
    <w:rsid w:val="00FE68E3"/>
    <w:rsid w:val="00FE7879"/>
    <w:rsid w:val="00FF0A30"/>
    <w:rsid w:val="00FF1D00"/>
    <w:rsid w:val="00FF5157"/>
    <w:rsid w:val="00FF766B"/>
    <w:rsid w:val="01AD7B91"/>
    <w:rsid w:val="01BC61CD"/>
    <w:rsid w:val="01FD7E4B"/>
    <w:rsid w:val="0206306B"/>
    <w:rsid w:val="0234160E"/>
    <w:rsid w:val="04264ED0"/>
    <w:rsid w:val="04445768"/>
    <w:rsid w:val="05196DFF"/>
    <w:rsid w:val="05D2339D"/>
    <w:rsid w:val="05E01F5E"/>
    <w:rsid w:val="063D339E"/>
    <w:rsid w:val="06B34F49"/>
    <w:rsid w:val="07990621"/>
    <w:rsid w:val="07E46564"/>
    <w:rsid w:val="08A114D2"/>
    <w:rsid w:val="08C10C64"/>
    <w:rsid w:val="097C6D10"/>
    <w:rsid w:val="09AB2D5E"/>
    <w:rsid w:val="0A1F4A63"/>
    <w:rsid w:val="0B545A72"/>
    <w:rsid w:val="0B9D3C57"/>
    <w:rsid w:val="0BB17834"/>
    <w:rsid w:val="0BFF472F"/>
    <w:rsid w:val="0C0E263D"/>
    <w:rsid w:val="0D1945D1"/>
    <w:rsid w:val="0E256195"/>
    <w:rsid w:val="104D38C7"/>
    <w:rsid w:val="107023D1"/>
    <w:rsid w:val="108F0795"/>
    <w:rsid w:val="10AC14F7"/>
    <w:rsid w:val="11D70154"/>
    <w:rsid w:val="122A05DA"/>
    <w:rsid w:val="13386A48"/>
    <w:rsid w:val="13442117"/>
    <w:rsid w:val="13884572"/>
    <w:rsid w:val="13C23352"/>
    <w:rsid w:val="13E97E92"/>
    <w:rsid w:val="13F35552"/>
    <w:rsid w:val="140D3465"/>
    <w:rsid w:val="14422305"/>
    <w:rsid w:val="14774DBB"/>
    <w:rsid w:val="1510143F"/>
    <w:rsid w:val="154C6C54"/>
    <w:rsid w:val="1556673F"/>
    <w:rsid w:val="158D7CAE"/>
    <w:rsid w:val="15AF4F21"/>
    <w:rsid w:val="16761380"/>
    <w:rsid w:val="17113463"/>
    <w:rsid w:val="18A37C68"/>
    <w:rsid w:val="18BF2756"/>
    <w:rsid w:val="192166BD"/>
    <w:rsid w:val="19484078"/>
    <w:rsid w:val="1949115D"/>
    <w:rsid w:val="1969544D"/>
    <w:rsid w:val="197D3EBD"/>
    <w:rsid w:val="19C16333"/>
    <w:rsid w:val="19D112E7"/>
    <w:rsid w:val="1A307298"/>
    <w:rsid w:val="1A3F74B1"/>
    <w:rsid w:val="1A9B7F7A"/>
    <w:rsid w:val="1BF41E67"/>
    <w:rsid w:val="1C474687"/>
    <w:rsid w:val="1D6B4970"/>
    <w:rsid w:val="1FAC5A1A"/>
    <w:rsid w:val="1FE1153D"/>
    <w:rsid w:val="21190524"/>
    <w:rsid w:val="21875902"/>
    <w:rsid w:val="21A67760"/>
    <w:rsid w:val="21FC7CC7"/>
    <w:rsid w:val="2203661C"/>
    <w:rsid w:val="223E121E"/>
    <w:rsid w:val="22936BE0"/>
    <w:rsid w:val="22DA58E8"/>
    <w:rsid w:val="23EB4426"/>
    <w:rsid w:val="25D25E53"/>
    <w:rsid w:val="26086C3B"/>
    <w:rsid w:val="2685028B"/>
    <w:rsid w:val="269E1BBF"/>
    <w:rsid w:val="28146D7C"/>
    <w:rsid w:val="285717B4"/>
    <w:rsid w:val="285F6959"/>
    <w:rsid w:val="2AA27E8E"/>
    <w:rsid w:val="2ADE440E"/>
    <w:rsid w:val="2B030893"/>
    <w:rsid w:val="2B042D13"/>
    <w:rsid w:val="2B056677"/>
    <w:rsid w:val="2BFA0DD4"/>
    <w:rsid w:val="2C0F0308"/>
    <w:rsid w:val="2C5C7EBF"/>
    <w:rsid w:val="2D051093"/>
    <w:rsid w:val="2D0734CA"/>
    <w:rsid w:val="2D607882"/>
    <w:rsid w:val="2E2A0C79"/>
    <w:rsid w:val="2E961974"/>
    <w:rsid w:val="2EBD337D"/>
    <w:rsid w:val="2ECE4ECA"/>
    <w:rsid w:val="2ED61C44"/>
    <w:rsid w:val="2F0B2ED3"/>
    <w:rsid w:val="2F230C1C"/>
    <w:rsid w:val="30430E97"/>
    <w:rsid w:val="304D37B8"/>
    <w:rsid w:val="32342FAC"/>
    <w:rsid w:val="3284126C"/>
    <w:rsid w:val="32A118F6"/>
    <w:rsid w:val="32C24277"/>
    <w:rsid w:val="344A48C2"/>
    <w:rsid w:val="34815494"/>
    <w:rsid w:val="349873DC"/>
    <w:rsid w:val="350D0FEC"/>
    <w:rsid w:val="359943E1"/>
    <w:rsid w:val="361316B8"/>
    <w:rsid w:val="361831D4"/>
    <w:rsid w:val="362F1FC2"/>
    <w:rsid w:val="37246E5D"/>
    <w:rsid w:val="37787718"/>
    <w:rsid w:val="37AE650D"/>
    <w:rsid w:val="37B264B4"/>
    <w:rsid w:val="37D02C9E"/>
    <w:rsid w:val="384E7E60"/>
    <w:rsid w:val="392109D8"/>
    <w:rsid w:val="397553D2"/>
    <w:rsid w:val="3A0D1E0D"/>
    <w:rsid w:val="3A955094"/>
    <w:rsid w:val="3AA611F8"/>
    <w:rsid w:val="3AC335FA"/>
    <w:rsid w:val="3CD70414"/>
    <w:rsid w:val="3CDE4BFD"/>
    <w:rsid w:val="3D0708D0"/>
    <w:rsid w:val="3D0E57F5"/>
    <w:rsid w:val="3D1B3CB6"/>
    <w:rsid w:val="3DBE270C"/>
    <w:rsid w:val="3DC7253E"/>
    <w:rsid w:val="3E7B5785"/>
    <w:rsid w:val="3EA42E21"/>
    <w:rsid w:val="3F3C12AC"/>
    <w:rsid w:val="4011165D"/>
    <w:rsid w:val="40C519CD"/>
    <w:rsid w:val="41051135"/>
    <w:rsid w:val="416350DC"/>
    <w:rsid w:val="41792343"/>
    <w:rsid w:val="41F549BF"/>
    <w:rsid w:val="42FD56ED"/>
    <w:rsid w:val="4349268A"/>
    <w:rsid w:val="442D06D8"/>
    <w:rsid w:val="447C2876"/>
    <w:rsid w:val="44862CF3"/>
    <w:rsid w:val="44BE2156"/>
    <w:rsid w:val="45DB0FFC"/>
    <w:rsid w:val="45E703F7"/>
    <w:rsid w:val="4606398E"/>
    <w:rsid w:val="46713557"/>
    <w:rsid w:val="46770A16"/>
    <w:rsid w:val="467F6E3D"/>
    <w:rsid w:val="46926EAD"/>
    <w:rsid w:val="47C24744"/>
    <w:rsid w:val="48241B21"/>
    <w:rsid w:val="483845C0"/>
    <w:rsid w:val="49233721"/>
    <w:rsid w:val="4A123335"/>
    <w:rsid w:val="4A656F66"/>
    <w:rsid w:val="4AC9433B"/>
    <w:rsid w:val="4B115B96"/>
    <w:rsid w:val="4B610AB6"/>
    <w:rsid w:val="4B844652"/>
    <w:rsid w:val="4B9E7329"/>
    <w:rsid w:val="4BCD4F7D"/>
    <w:rsid w:val="4C5A6D33"/>
    <w:rsid w:val="4CF91CDA"/>
    <w:rsid w:val="4D505D63"/>
    <w:rsid w:val="4D614733"/>
    <w:rsid w:val="4D9E2555"/>
    <w:rsid w:val="4DE16F88"/>
    <w:rsid w:val="4EAA7FE0"/>
    <w:rsid w:val="4F044670"/>
    <w:rsid w:val="4FB479BB"/>
    <w:rsid w:val="4FEC3748"/>
    <w:rsid w:val="50092560"/>
    <w:rsid w:val="50B46A4B"/>
    <w:rsid w:val="517A0F2C"/>
    <w:rsid w:val="517C6C0F"/>
    <w:rsid w:val="52ED493F"/>
    <w:rsid w:val="53761FD5"/>
    <w:rsid w:val="5382777D"/>
    <w:rsid w:val="53854F1C"/>
    <w:rsid w:val="53F8637C"/>
    <w:rsid w:val="54067A66"/>
    <w:rsid w:val="542F7004"/>
    <w:rsid w:val="547934E8"/>
    <w:rsid w:val="57FD4624"/>
    <w:rsid w:val="583654AB"/>
    <w:rsid w:val="58675ABD"/>
    <w:rsid w:val="593C217C"/>
    <w:rsid w:val="5957621C"/>
    <w:rsid w:val="596E6C56"/>
    <w:rsid w:val="5A6B5E5F"/>
    <w:rsid w:val="5AC24DDE"/>
    <w:rsid w:val="5B3D2090"/>
    <w:rsid w:val="5B9C5173"/>
    <w:rsid w:val="5BEF34D6"/>
    <w:rsid w:val="5BF84CF1"/>
    <w:rsid w:val="5BFA7EF6"/>
    <w:rsid w:val="5CA37E3D"/>
    <w:rsid w:val="5D413CF7"/>
    <w:rsid w:val="5D7843A7"/>
    <w:rsid w:val="5D7E2D63"/>
    <w:rsid w:val="5E4044BD"/>
    <w:rsid w:val="5F82462F"/>
    <w:rsid w:val="5FA7381C"/>
    <w:rsid w:val="608E6353"/>
    <w:rsid w:val="60A633CF"/>
    <w:rsid w:val="616B7363"/>
    <w:rsid w:val="628D0B2C"/>
    <w:rsid w:val="628F18F9"/>
    <w:rsid w:val="62A37A06"/>
    <w:rsid w:val="62BB5519"/>
    <w:rsid w:val="637A7359"/>
    <w:rsid w:val="63894210"/>
    <w:rsid w:val="644D6AE5"/>
    <w:rsid w:val="657460E2"/>
    <w:rsid w:val="66AB0DB4"/>
    <w:rsid w:val="677D3E0B"/>
    <w:rsid w:val="67A562B9"/>
    <w:rsid w:val="681D46FB"/>
    <w:rsid w:val="68231CEE"/>
    <w:rsid w:val="68A75F53"/>
    <w:rsid w:val="68D25986"/>
    <w:rsid w:val="693B684A"/>
    <w:rsid w:val="698A0CAF"/>
    <w:rsid w:val="6A464C09"/>
    <w:rsid w:val="6B0A0B3D"/>
    <w:rsid w:val="6B9B2216"/>
    <w:rsid w:val="6BF04831"/>
    <w:rsid w:val="6C051C64"/>
    <w:rsid w:val="6C0D5F8C"/>
    <w:rsid w:val="6D783D26"/>
    <w:rsid w:val="6DD577E5"/>
    <w:rsid w:val="6E0C6CF7"/>
    <w:rsid w:val="6E997680"/>
    <w:rsid w:val="6F60676D"/>
    <w:rsid w:val="6FE55647"/>
    <w:rsid w:val="70472135"/>
    <w:rsid w:val="70807EC6"/>
    <w:rsid w:val="70DC7396"/>
    <w:rsid w:val="715103CC"/>
    <w:rsid w:val="716600A4"/>
    <w:rsid w:val="72F2640D"/>
    <w:rsid w:val="743E25EA"/>
    <w:rsid w:val="756E350C"/>
    <w:rsid w:val="75726686"/>
    <w:rsid w:val="75E108F2"/>
    <w:rsid w:val="75F40773"/>
    <w:rsid w:val="765C1983"/>
    <w:rsid w:val="7728668A"/>
    <w:rsid w:val="77A94A29"/>
    <w:rsid w:val="78DD498A"/>
    <w:rsid w:val="7A7211F1"/>
    <w:rsid w:val="7A7874E1"/>
    <w:rsid w:val="7AAD7251"/>
    <w:rsid w:val="7B144113"/>
    <w:rsid w:val="7B2C2CE0"/>
    <w:rsid w:val="7B476C72"/>
    <w:rsid w:val="7BF9073C"/>
    <w:rsid w:val="7C9266E6"/>
    <w:rsid w:val="7CA55662"/>
    <w:rsid w:val="7CA76ABC"/>
    <w:rsid w:val="7D492E76"/>
    <w:rsid w:val="7D5C2EB2"/>
    <w:rsid w:val="7D7B1C20"/>
    <w:rsid w:val="7E080870"/>
    <w:rsid w:val="7F550FE3"/>
    <w:rsid w:val="7FEE39C8"/>
    <w:rsid w:val="7FF72E1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300" w:lineRule="auto"/>
      <w:jc w:val="center"/>
      <w:outlineLvl w:val="0"/>
    </w:pPr>
    <w:rPr>
      <w:b/>
      <w:bCs/>
      <w:kern w:val="44"/>
      <w:sz w:val="32"/>
      <w:szCs w:val="44"/>
    </w:rPr>
  </w:style>
  <w:style w:type="paragraph" w:styleId="4">
    <w:name w:val="heading 2"/>
    <w:basedOn w:val="1"/>
    <w:next w:val="1"/>
    <w:qFormat/>
    <w:uiPriority w:val="0"/>
    <w:pPr>
      <w:keepNext/>
      <w:keepLines/>
      <w:spacing w:before="260" w:after="260" w:line="416" w:lineRule="auto"/>
      <w:outlineLvl w:val="1"/>
    </w:pPr>
    <w:rPr>
      <w:rFonts w:ascii="Arial" w:hAnsi="Arial" w:eastAsia="黑体"/>
      <w:bCs/>
      <w:sz w:val="32"/>
      <w:szCs w:val="32"/>
    </w:rPr>
  </w:style>
  <w:style w:type="paragraph" w:styleId="5">
    <w:name w:val="heading 3"/>
    <w:basedOn w:val="1"/>
    <w:next w:val="1"/>
    <w:qFormat/>
    <w:uiPriority w:val="0"/>
    <w:pPr>
      <w:keepNext/>
      <w:keepLines/>
      <w:spacing w:before="120" w:after="120" w:line="300" w:lineRule="auto"/>
      <w:outlineLvl w:val="2"/>
    </w:pPr>
    <w:rPr>
      <w:rFonts w:ascii="宋体"/>
      <w:b/>
      <w:bCs/>
      <w:sz w:val="24"/>
      <w:szCs w:val="32"/>
    </w:rPr>
  </w:style>
  <w:style w:type="paragraph" w:styleId="6">
    <w:name w:val="heading 4"/>
    <w:basedOn w:val="1"/>
    <w:next w:val="1"/>
    <w:qFormat/>
    <w:uiPriority w:val="0"/>
    <w:pPr>
      <w:keepNext/>
      <w:keepLines/>
      <w:spacing w:line="300" w:lineRule="auto"/>
      <w:outlineLvl w:val="3"/>
    </w:pPr>
    <w:rPr>
      <w:rFonts w:ascii="Arial" w:hAnsi="Arial"/>
      <w:bCs/>
      <w:sz w:val="24"/>
      <w:szCs w:val="28"/>
    </w:rPr>
  </w:style>
  <w:style w:type="paragraph" w:styleId="7">
    <w:name w:val="heading 5"/>
    <w:basedOn w:val="1"/>
    <w:next w:val="1"/>
    <w:qFormat/>
    <w:uiPriority w:val="0"/>
    <w:pPr>
      <w:keepNext/>
      <w:keepLines/>
      <w:spacing w:before="280" w:after="290" w:line="376" w:lineRule="auto"/>
      <w:outlineLvl w:val="4"/>
    </w:pPr>
    <w:rPr>
      <w:b/>
      <w:bCs/>
      <w:sz w:val="28"/>
      <w:szCs w:val="28"/>
    </w:rPr>
  </w:style>
  <w:style w:type="paragraph" w:styleId="8">
    <w:name w:val="heading 6"/>
    <w:basedOn w:val="1"/>
    <w:next w:val="1"/>
    <w:qFormat/>
    <w:uiPriority w:val="0"/>
    <w:pPr>
      <w:keepNext/>
      <w:keepLines/>
      <w:spacing w:before="240" w:after="64" w:line="320" w:lineRule="auto"/>
      <w:outlineLvl w:val="5"/>
    </w:pPr>
    <w:rPr>
      <w:rFonts w:ascii="Arial" w:hAnsi="Arial" w:eastAsia="黑体"/>
      <w:b/>
      <w:bCs/>
      <w:sz w:val="24"/>
    </w:rPr>
  </w:style>
  <w:style w:type="character" w:default="1" w:styleId="37">
    <w:name w:val="Default Paragraph Font"/>
    <w:semiHidden/>
    <w:qFormat/>
    <w:uiPriority w:val="0"/>
  </w:style>
  <w:style w:type="table" w:default="1" w:styleId="35">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rPr>
      <w:sz w:val="24"/>
    </w:rPr>
  </w:style>
  <w:style w:type="paragraph" w:styleId="9">
    <w:name w:val="toc 7"/>
    <w:basedOn w:val="1"/>
    <w:next w:val="1"/>
    <w:semiHidden/>
    <w:qFormat/>
    <w:uiPriority w:val="0"/>
    <w:pPr>
      <w:ind w:left="1260"/>
      <w:jc w:val="left"/>
    </w:pPr>
    <w:rPr>
      <w:sz w:val="18"/>
      <w:szCs w:val="18"/>
    </w:rPr>
  </w:style>
  <w:style w:type="paragraph" w:styleId="10">
    <w:name w:val="Document Map"/>
    <w:basedOn w:val="1"/>
    <w:semiHidden/>
    <w:qFormat/>
    <w:uiPriority w:val="0"/>
    <w:pPr>
      <w:shd w:val="clear" w:color="auto" w:fill="000080"/>
    </w:pPr>
  </w:style>
  <w:style w:type="paragraph" w:styleId="11">
    <w:name w:val="annotation text"/>
    <w:basedOn w:val="1"/>
    <w:semiHidden/>
    <w:qFormat/>
    <w:uiPriority w:val="0"/>
    <w:pPr>
      <w:jc w:val="left"/>
    </w:pPr>
  </w:style>
  <w:style w:type="paragraph" w:styleId="12">
    <w:name w:val="Body Text 3"/>
    <w:basedOn w:val="1"/>
    <w:qFormat/>
    <w:uiPriority w:val="0"/>
    <w:rPr>
      <w:color w:val="FF00FF"/>
    </w:rPr>
  </w:style>
  <w:style w:type="paragraph" w:styleId="13">
    <w:name w:val="Body Text Indent"/>
    <w:basedOn w:val="1"/>
    <w:qFormat/>
    <w:uiPriority w:val="0"/>
    <w:pPr>
      <w:ind w:left="853" w:leftChars="406" w:firstLine="490" w:firstLineChars="204"/>
    </w:pPr>
    <w:rPr>
      <w:rFonts w:ascii="宋体" w:hAnsi="宋体"/>
      <w:sz w:val="24"/>
    </w:rPr>
  </w:style>
  <w:style w:type="paragraph" w:styleId="14">
    <w:name w:val="toc 5"/>
    <w:basedOn w:val="1"/>
    <w:next w:val="1"/>
    <w:semiHidden/>
    <w:qFormat/>
    <w:uiPriority w:val="0"/>
    <w:pPr>
      <w:ind w:left="840"/>
      <w:jc w:val="left"/>
    </w:pPr>
    <w:rPr>
      <w:sz w:val="18"/>
      <w:szCs w:val="18"/>
    </w:rPr>
  </w:style>
  <w:style w:type="paragraph" w:styleId="15">
    <w:name w:val="toc 3"/>
    <w:basedOn w:val="1"/>
    <w:next w:val="1"/>
    <w:semiHidden/>
    <w:qFormat/>
    <w:uiPriority w:val="0"/>
    <w:pPr>
      <w:ind w:left="420"/>
      <w:jc w:val="left"/>
    </w:pPr>
    <w:rPr>
      <w:i/>
      <w:iCs/>
      <w:sz w:val="20"/>
      <w:szCs w:val="20"/>
    </w:rPr>
  </w:style>
  <w:style w:type="paragraph" w:styleId="16">
    <w:name w:val="Plain Text"/>
    <w:basedOn w:val="1"/>
    <w:qFormat/>
    <w:uiPriority w:val="0"/>
    <w:rPr>
      <w:rFonts w:ascii="宋体" w:hAnsi="Courier New"/>
      <w:kern w:val="10"/>
      <w:szCs w:val="21"/>
    </w:rPr>
  </w:style>
  <w:style w:type="paragraph" w:styleId="17">
    <w:name w:val="toc 8"/>
    <w:basedOn w:val="1"/>
    <w:next w:val="1"/>
    <w:semiHidden/>
    <w:qFormat/>
    <w:uiPriority w:val="0"/>
    <w:pPr>
      <w:ind w:left="1470"/>
      <w:jc w:val="left"/>
    </w:pPr>
    <w:rPr>
      <w:sz w:val="18"/>
      <w:szCs w:val="18"/>
    </w:rPr>
  </w:style>
  <w:style w:type="paragraph" w:styleId="18">
    <w:name w:val="Date"/>
    <w:basedOn w:val="1"/>
    <w:next w:val="1"/>
    <w:qFormat/>
    <w:uiPriority w:val="0"/>
    <w:pPr>
      <w:ind w:left="100" w:leftChars="2500"/>
    </w:pPr>
    <w:rPr>
      <w:color w:val="0000FF"/>
      <w:sz w:val="24"/>
    </w:rPr>
  </w:style>
  <w:style w:type="paragraph" w:styleId="19">
    <w:name w:val="Body Text Indent 2"/>
    <w:basedOn w:val="1"/>
    <w:qFormat/>
    <w:uiPriority w:val="0"/>
    <w:pPr>
      <w:ind w:left="899" w:leftChars="428" w:firstLine="456" w:firstLineChars="217"/>
    </w:pPr>
  </w:style>
  <w:style w:type="paragraph" w:styleId="20">
    <w:name w:val="Balloon Text"/>
    <w:basedOn w:val="1"/>
    <w:semiHidden/>
    <w:qFormat/>
    <w:uiPriority w:val="0"/>
    <w:rPr>
      <w:sz w:val="18"/>
      <w:szCs w:val="18"/>
    </w:rPr>
  </w:style>
  <w:style w:type="paragraph" w:styleId="21">
    <w:name w:val="footer"/>
    <w:basedOn w:val="1"/>
    <w:qFormat/>
    <w:uiPriority w:val="0"/>
    <w:pPr>
      <w:tabs>
        <w:tab w:val="center" w:pos="4153"/>
        <w:tab w:val="right" w:pos="8306"/>
      </w:tabs>
      <w:snapToGrid w:val="0"/>
      <w:jc w:val="left"/>
    </w:pPr>
    <w:rPr>
      <w:sz w:val="18"/>
      <w:szCs w:val="18"/>
    </w:rPr>
  </w:style>
  <w:style w:type="paragraph" w:styleId="22">
    <w:name w:val="header"/>
    <w:basedOn w:val="1"/>
    <w:link w:val="43"/>
    <w:qFormat/>
    <w:uiPriority w:val="0"/>
    <w:pPr>
      <w:pBdr>
        <w:bottom w:val="single" w:color="auto" w:sz="6" w:space="1"/>
      </w:pBdr>
      <w:tabs>
        <w:tab w:val="center" w:pos="4153"/>
        <w:tab w:val="right" w:pos="8306"/>
      </w:tabs>
      <w:snapToGrid w:val="0"/>
      <w:jc w:val="center"/>
    </w:pPr>
    <w:rPr>
      <w:sz w:val="18"/>
      <w:szCs w:val="18"/>
    </w:rPr>
  </w:style>
  <w:style w:type="paragraph" w:styleId="23">
    <w:name w:val="toc 1"/>
    <w:basedOn w:val="1"/>
    <w:next w:val="1"/>
    <w:semiHidden/>
    <w:qFormat/>
    <w:uiPriority w:val="0"/>
    <w:pPr>
      <w:tabs>
        <w:tab w:val="right" w:leader="dot" w:pos="9061"/>
      </w:tabs>
      <w:spacing w:before="120" w:after="120" w:line="360" w:lineRule="auto"/>
      <w:jc w:val="left"/>
    </w:pPr>
    <w:rPr>
      <w:rFonts w:ascii="宋体" w:hAnsi="宋体" w:cs="Arial"/>
      <w:bCs/>
      <w:caps/>
      <w:sz w:val="24"/>
    </w:rPr>
  </w:style>
  <w:style w:type="paragraph" w:styleId="24">
    <w:name w:val="toc 4"/>
    <w:basedOn w:val="1"/>
    <w:next w:val="1"/>
    <w:semiHidden/>
    <w:qFormat/>
    <w:uiPriority w:val="0"/>
    <w:pPr>
      <w:ind w:left="630"/>
      <w:jc w:val="left"/>
    </w:pPr>
    <w:rPr>
      <w:sz w:val="18"/>
      <w:szCs w:val="18"/>
    </w:rPr>
  </w:style>
  <w:style w:type="paragraph" w:styleId="25">
    <w:name w:val="toc 6"/>
    <w:basedOn w:val="1"/>
    <w:next w:val="1"/>
    <w:semiHidden/>
    <w:qFormat/>
    <w:uiPriority w:val="0"/>
    <w:pPr>
      <w:ind w:left="1050"/>
      <w:jc w:val="left"/>
    </w:pPr>
    <w:rPr>
      <w:sz w:val="18"/>
      <w:szCs w:val="18"/>
    </w:rPr>
  </w:style>
  <w:style w:type="paragraph" w:styleId="26">
    <w:name w:val="Body Text Indent 3"/>
    <w:basedOn w:val="1"/>
    <w:qFormat/>
    <w:uiPriority w:val="0"/>
    <w:pPr>
      <w:ind w:left="899" w:leftChars="428" w:firstLine="458" w:firstLineChars="218"/>
    </w:pPr>
  </w:style>
  <w:style w:type="paragraph" w:styleId="27">
    <w:name w:val="table of figures"/>
    <w:basedOn w:val="1"/>
    <w:next w:val="1"/>
    <w:semiHidden/>
    <w:qFormat/>
    <w:uiPriority w:val="0"/>
    <w:pPr>
      <w:ind w:left="840" w:leftChars="200" w:hanging="420" w:hangingChars="200"/>
    </w:pPr>
  </w:style>
  <w:style w:type="paragraph" w:styleId="28">
    <w:name w:val="toc 2"/>
    <w:basedOn w:val="1"/>
    <w:next w:val="1"/>
    <w:semiHidden/>
    <w:qFormat/>
    <w:uiPriority w:val="0"/>
    <w:pPr>
      <w:ind w:left="210"/>
      <w:jc w:val="left"/>
    </w:pPr>
    <w:rPr>
      <w:smallCaps/>
      <w:sz w:val="20"/>
      <w:szCs w:val="20"/>
    </w:rPr>
  </w:style>
  <w:style w:type="paragraph" w:styleId="29">
    <w:name w:val="toc 9"/>
    <w:basedOn w:val="1"/>
    <w:next w:val="1"/>
    <w:semiHidden/>
    <w:qFormat/>
    <w:uiPriority w:val="0"/>
    <w:pPr>
      <w:ind w:left="1680"/>
      <w:jc w:val="left"/>
    </w:pPr>
    <w:rPr>
      <w:sz w:val="18"/>
      <w:szCs w:val="18"/>
    </w:rPr>
  </w:style>
  <w:style w:type="paragraph" w:styleId="30">
    <w:name w:val="Body Text 2"/>
    <w:basedOn w:val="1"/>
    <w:qFormat/>
    <w:uiPriority w:val="0"/>
    <w:rPr>
      <w:color w:val="FF0000"/>
      <w:sz w:val="24"/>
    </w:rPr>
  </w:style>
  <w:style w:type="paragraph" w:styleId="31">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sz w:val="24"/>
    </w:rPr>
  </w:style>
  <w:style w:type="paragraph" w:styleId="32">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3">
    <w:name w:val="Normal (Web)"/>
    <w:basedOn w:val="1"/>
    <w:qFormat/>
    <w:uiPriority w:val="0"/>
    <w:pPr>
      <w:widowControl/>
      <w:spacing w:before="100" w:beforeAutospacing="1" w:after="100" w:afterAutospacing="1"/>
      <w:jc w:val="left"/>
    </w:pPr>
    <w:rPr>
      <w:rFonts w:ascii="Verdana" w:hAnsi="Verdana" w:cs="宋体"/>
      <w:color w:val="666666"/>
      <w:kern w:val="0"/>
      <w:sz w:val="18"/>
      <w:szCs w:val="18"/>
    </w:rPr>
  </w:style>
  <w:style w:type="paragraph" w:styleId="34">
    <w:name w:val="Title"/>
    <w:basedOn w:val="1"/>
    <w:next w:val="1"/>
    <w:qFormat/>
    <w:uiPriority w:val="10"/>
    <w:pPr>
      <w:jc w:val="center"/>
    </w:pPr>
    <w:rPr>
      <w:rFonts w:ascii="Cambria" w:hAnsi="Cambria" w:eastAsia="Cambria"/>
      <w:b/>
      <w:sz w:val="32"/>
      <w:szCs w:val="32"/>
    </w:rPr>
  </w:style>
  <w:style w:type="table" w:styleId="36">
    <w:name w:val="Table Grid"/>
    <w:basedOn w:val="3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0"/>
    <w:rPr>
      <w:b/>
    </w:rPr>
  </w:style>
  <w:style w:type="character" w:styleId="39">
    <w:name w:val="page number"/>
    <w:basedOn w:val="37"/>
    <w:qFormat/>
    <w:uiPriority w:val="0"/>
  </w:style>
  <w:style w:type="character" w:styleId="40">
    <w:name w:val="FollowedHyperlink"/>
    <w:basedOn w:val="37"/>
    <w:qFormat/>
    <w:uiPriority w:val="0"/>
    <w:rPr>
      <w:color w:val="4371B7"/>
      <w:u w:val="single"/>
    </w:rPr>
  </w:style>
  <w:style w:type="character" w:styleId="41">
    <w:name w:val="Hyperlink"/>
    <w:basedOn w:val="37"/>
    <w:qFormat/>
    <w:uiPriority w:val="0"/>
    <w:rPr>
      <w:color w:val="4371B7"/>
      <w:u w:val="single"/>
    </w:rPr>
  </w:style>
  <w:style w:type="character" w:styleId="42">
    <w:name w:val="annotation reference"/>
    <w:basedOn w:val="37"/>
    <w:semiHidden/>
    <w:qFormat/>
    <w:uiPriority w:val="0"/>
    <w:rPr>
      <w:sz w:val="21"/>
      <w:szCs w:val="21"/>
    </w:rPr>
  </w:style>
  <w:style w:type="character" w:customStyle="1" w:styleId="43">
    <w:name w:val="页眉 Char"/>
    <w:link w:val="22"/>
    <w:qFormat/>
    <w:uiPriority w:val="0"/>
    <w:rPr>
      <w:kern w:val="2"/>
      <w:sz w:val="18"/>
      <w:szCs w:val="18"/>
    </w:rPr>
  </w:style>
  <w:style w:type="character" w:customStyle="1" w:styleId="44">
    <w:name w:val="style41"/>
    <w:basedOn w:val="37"/>
    <w:qFormat/>
    <w:uiPriority w:val="0"/>
    <w:rPr>
      <w:color w:val="000000"/>
    </w:rPr>
  </w:style>
  <w:style w:type="character" w:customStyle="1" w:styleId="45">
    <w:name w:val="diczx41"/>
    <w:basedOn w:val="37"/>
    <w:qFormat/>
    <w:uiPriority w:val="0"/>
    <w:rPr>
      <w:b/>
      <w:bCs/>
      <w:color w:val="404040"/>
    </w:rPr>
  </w:style>
  <w:style w:type="character" w:customStyle="1" w:styleId="46">
    <w:name w:val="content21"/>
    <w:basedOn w:val="37"/>
    <w:qFormat/>
    <w:uiPriority w:val="0"/>
  </w:style>
  <w:style w:type="paragraph" w:customStyle="1" w:styleId="47">
    <w:name w:val="xiao b"/>
    <w:basedOn w:val="1"/>
    <w:qFormat/>
    <w:uiPriority w:val="0"/>
    <w:pPr>
      <w:jc w:val="center"/>
    </w:pPr>
    <w:rPr>
      <w:rFonts w:eastAsia="黑体"/>
      <w:sz w:val="24"/>
      <w:szCs w:val="20"/>
    </w:rPr>
  </w:style>
  <w:style w:type="paragraph" w:customStyle="1" w:styleId="48">
    <w:name w:val=" Char Char Char Char Char Char Char Char1 Char Char Char Char Char Char Char Char Char Char1 Char Char Char Char Char Char Char Char"/>
    <w:basedOn w:val="1"/>
    <w:qFormat/>
    <w:uiPriority w:val="0"/>
    <w:pPr>
      <w:spacing w:line="360" w:lineRule="auto"/>
      <w:ind w:firstLine="200" w:firstLineChars="200"/>
    </w:pPr>
    <w:rPr>
      <w:rFonts w:ascii="宋体" w:hAnsi="宋体" w:cs="宋体"/>
      <w:sz w:val="24"/>
    </w:rPr>
  </w:style>
  <w:style w:type="paragraph" w:customStyle="1" w:styleId="49">
    <w:name w:val="unnamed2"/>
    <w:basedOn w:val="1"/>
    <w:qFormat/>
    <w:uiPriority w:val="0"/>
    <w:pPr>
      <w:widowControl/>
      <w:spacing w:before="100" w:beforeAutospacing="1" w:after="100" w:afterAutospacing="1"/>
      <w:jc w:val="left"/>
    </w:pPr>
    <w:rPr>
      <w:rFonts w:ascii="宋体" w:hAnsi="宋体" w:cs="宋体"/>
      <w:kern w:val="0"/>
      <w:sz w:val="24"/>
    </w:rPr>
  </w:style>
  <w:style w:type="paragraph" w:customStyle="1" w:styleId="50">
    <w:name w:val=" Char Char Char1 Char"/>
    <w:basedOn w:val="10"/>
    <w:qFormat/>
    <w:uiPriority w:val="0"/>
    <w:rPr>
      <w:szCs w:val="20"/>
    </w:rPr>
  </w:style>
  <w:style w:type="paragraph" w:customStyle="1" w:styleId="51">
    <w:name w:val="Char Char Char Char Char Char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52">
    <w:name w:val=" Char1 Char Char Char"/>
    <w:basedOn w:val="1"/>
    <w:qFormat/>
    <w:uiPriority w:val="0"/>
    <w:rPr>
      <w:rFonts w:ascii="仿宋_GB2312" w:eastAsia="仿宋_GB2312"/>
      <w:b/>
      <w:sz w:val="32"/>
      <w:szCs w:val="32"/>
    </w:rPr>
  </w:style>
  <w:style w:type="paragraph" w:customStyle="1" w:styleId="53">
    <w:name w:val="正文2"/>
    <w:basedOn w:val="2"/>
    <w:qFormat/>
    <w:uiPriority w:val="0"/>
    <w:pPr>
      <w:spacing w:line="360" w:lineRule="auto"/>
      <w:ind w:firstLine="480" w:firstLineChars="200"/>
    </w:pPr>
    <w:rPr>
      <w:rFonts w:ascii="宋体"/>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1482</Words>
  <Characters>1711</Characters>
  <Lines>21</Lines>
  <Paragraphs>6</Paragraphs>
  <TotalTime>10</TotalTime>
  <ScaleCrop>false</ScaleCrop>
  <LinksUpToDate>false</LinksUpToDate>
  <CharactersWithSpaces>1809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2021-08-05T07:39:00Z</dcterms:created>
  <dc:creator>JCX</dc:creator>
  <cp:lastModifiedBy>lenovo</cp:lastModifiedBy>
  <cp:lastPrinted>2010-03-31T01:28:00Z</cp:lastPrinted>
  <dcterms:modified xsi:type="dcterms:W3CDTF">2025-12-08T05:50:48Z</dcterms:modified>
  <dc:title>总 目 录</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83A05A703ACD4AD5B8A77F6407D6EA6E_13</vt:lpwstr>
  </property>
  <property fmtid="{D5CDD505-2E9C-101B-9397-08002B2CF9AE}" pid="4" name="KSOTemplateDocerSaveRecord">
    <vt:lpwstr>eyJoZGlkIjoiMzQyNzU5MjA1OTY2ZTMyYTM1MzQxNjRlNzM5OGFiY2IiLCJ1c2VySWQiOiIxNDg4NjUxMDEwIn0=</vt:lpwstr>
  </property>
</Properties>
</file>